
<file path=[Content_Types].xml><?xml version="1.0" encoding="utf-8"?>
<Types xmlns="http://schemas.openxmlformats.org/package/2006/content-types">
  <Default Extension="wmf" ContentType="image/x-wmf"/>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E361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eastAsia" w:ascii="华文楷体" w:hAnsi="华文楷体" w:eastAsia="华文楷体" w:cs="华文楷体"/>
          <w:b/>
          <w:bCs/>
          <w:snapToGrid w:val="0"/>
          <w:color w:val="548235" w:themeColor="accent6" w:themeShade="BF"/>
          <w:kern w:val="0"/>
          <w:sz w:val="28"/>
          <w:szCs w:val="28"/>
          <w:lang w:val="en-US" w:eastAsia="zh-CN" w:bidi="ar"/>
        </w:rPr>
      </w:pPr>
    </w:p>
    <w:p w14:paraId="287E5B2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default" w:ascii="Times New Roman" w:hAnsi="Times New Roman" w:eastAsia="仿宋" w:cs="Times New Roman"/>
          <w:color w:val="04AC5C"/>
          <w:sz w:val="32"/>
          <w:szCs w:val="24"/>
          <w:lang w:val="en-US"/>
        </w:rPr>
      </w:pPr>
      <w:r>
        <w:rPr>
          <w:rFonts w:hint="eastAsia" w:ascii="华文楷体" w:hAnsi="华文楷体" w:eastAsia="华文楷体" w:cs="华文楷体"/>
          <w:b/>
          <w:bCs/>
          <w:snapToGrid w:val="0"/>
          <w:color w:val="04AC5C"/>
          <w:kern w:val="0"/>
          <w:sz w:val="28"/>
          <w:szCs w:val="28"/>
          <w:lang w:val="en-US" w:eastAsia="zh-CN" w:bidi="ar"/>
        </w:rPr>
        <w:t>第135期</w:t>
      </w:r>
    </w:p>
    <w:p w14:paraId="62D56D6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default" w:ascii="Arial" w:hAnsi="Times New Roman" w:eastAsia="仿宋" w:cs="Times New Roman"/>
          <w:color w:val="04AC5C"/>
          <w:sz w:val="21"/>
          <w:szCs w:val="24"/>
          <w:lang w:val="en-US"/>
        </w:rPr>
      </w:pPr>
      <w:r>
        <w:rPr>
          <w:rFonts w:ascii="华文楷体" w:hAnsi="华文楷体" w:eastAsia="华文楷体" w:cs="华文楷体"/>
          <w:b/>
          <w:bCs/>
          <w:snapToGrid w:val="0"/>
          <w:color w:val="04AC5C"/>
          <w:kern w:val="0"/>
          <w:sz w:val="28"/>
          <w:szCs w:val="28"/>
          <w:u w:val="single" w:color="auto"/>
          <w:lang w:val="en-US" w:eastAsia="zh-CN" w:bidi="ar"/>
        </w:rPr>
        <w:t>信息部</w:t>
      </w:r>
      <w:r>
        <w:rPr>
          <w:rFonts w:hint="eastAsia" w:ascii="华文楷体" w:hAnsi="华文楷体" w:eastAsia="华文楷体" w:cs="华文楷体"/>
          <w:b/>
          <w:bCs/>
          <w:snapToGrid w:val="0"/>
          <w:color w:val="04AC5C"/>
          <w:kern w:val="0"/>
          <w:sz w:val="28"/>
          <w:szCs w:val="28"/>
          <w:u w:val="single" w:color="auto"/>
          <w:lang w:val="en-US" w:eastAsia="zh-CN" w:bidi="ar"/>
        </w:rPr>
        <w:t xml:space="preserve">                                            2026年5月</w:t>
      </w:r>
    </w:p>
    <w:p w14:paraId="59B0599D">
      <w:pPr>
        <w:keepNext/>
        <w:keepLines/>
        <w:widowControl w:val="0"/>
        <w:numPr>
          <w:ilvl w:val="0"/>
          <w:numId w:val="0"/>
        </w:numPr>
        <w:bidi w:val="0"/>
        <w:spacing w:before="260" w:beforeLines="0" w:beforeAutospacing="0" w:after="260" w:afterLines="0" w:afterAutospacing="0" w:line="413" w:lineRule="auto"/>
        <w:jc w:val="left"/>
        <w:outlineLvl w:val="1"/>
        <w:rPr>
          <w:rFonts w:hint="default"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每周资讯|央行：继续实施好适度宽松的货币政策；4月新能源汽车新车销量占有率达53.2%；弘信电子无锡建“Token工厂”.</w:t>
      </w:r>
    </w:p>
    <w:p w14:paraId="4E1614DA">
      <w:pPr>
        <w:keepNext/>
        <w:keepLines/>
        <w:widowControl w:val="0"/>
        <w:numPr>
          <w:ilvl w:val="0"/>
          <w:numId w:val="1"/>
        </w:numPr>
        <w:bidi w:val="0"/>
        <w:spacing w:before="260" w:beforeLines="0" w:beforeAutospacing="0" w:after="260" w:afterLines="0" w:afterAutospacing="0" w:line="413" w:lineRule="auto"/>
        <w:jc w:val="left"/>
        <w:outlineLvl w:val="1"/>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行业</w:t>
      </w:r>
    </w:p>
    <w:p w14:paraId="0DFDEF22">
      <w:pPr>
        <w:spacing w:line="360" w:lineRule="auto"/>
        <w:ind w:firstLine="643" w:firstLineChars="200"/>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央行：继续实施好适度宽松的货币政策</w:t>
      </w:r>
    </w:p>
    <w:p w14:paraId="3EDDAD50">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5月11日，央行发布2026年第一季度中国货币政策执行报告，报告指出，继续实施好适度宽松的货币政策。增强政策前瞻性灵活性针对性，根据国内外经济金融形势和金融市场运行情况，把握好政策实施的力度、节奏和时机，加强货币财政政策协同配合，畅通货币政策传导机制，促进经济稳定增长和物价合理回升。灵活运用多种货币政策工具，保持流动性充裕和社会融资条件相对宽松，引导金融总量合理增长、信贷均衡投放，使社会融资规模、货币供应量增长同经济增长、价格总水平预期目标相匹配。（财联社）</w:t>
      </w:r>
    </w:p>
    <w:p w14:paraId="6B5FF9C9">
      <w:pPr>
        <w:spacing w:line="240" w:lineRule="auto"/>
        <w:ind w:left="0" w:leftChars="0" w:firstLine="0" w:firstLineChars="0"/>
        <w:jc w:val="center"/>
        <w:rPr>
          <w:rFonts w:hint="eastAsia" w:ascii="Arial" w:hAnsi="Arial" w:eastAsia="黑体" w:cs="Times New Roman"/>
          <w:b/>
          <w:kern w:val="2"/>
          <w:sz w:val="32"/>
          <w:szCs w:val="24"/>
          <w:highlight w:val="none"/>
          <w:lang w:val="en-US" w:eastAsia="zh-CN" w:bidi="ar-SA"/>
        </w:rPr>
      </w:pPr>
    </w:p>
    <w:p w14:paraId="3EEB491E">
      <w:pPr>
        <w:spacing w:line="360" w:lineRule="auto"/>
        <w:jc w:val="left"/>
        <w:rPr>
          <w:rFonts w:hint="default" w:ascii="Times New Roman" w:hAnsi="Times New Roman" w:eastAsia="仿宋" w:cs="Times New Roman"/>
          <w:sz w:val="32"/>
          <w:szCs w:val="24"/>
          <w:highlight w:val="none"/>
          <w:lang w:val="en-US" w:eastAsia="zh-CN"/>
        </w:rPr>
      </w:pPr>
    </w:p>
    <w:p w14:paraId="54FED2F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商务部新闻发言人就中美经贸磋商初步成果答记者问</w:t>
      </w:r>
    </w:p>
    <w:p w14:paraId="19DE262A">
      <w:pPr>
        <w:spacing w:line="360" w:lineRule="auto"/>
        <w:ind w:firstLine="640" w:firstLineChars="200"/>
        <w:jc w:val="left"/>
        <w:rPr>
          <w:rFonts w:hint="eastAsia" w:ascii="Times New Roman" w:hAnsi="Times New Roman" w:eastAsia="仿宋" w:cs="Times New Roman"/>
          <w:sz w:val="32"/>
          <w:szCs w:val="24"/>
          <w:lang w:val="en-US" w:eastAsia="zh-CN"/>
        </w:rPr>
      </w:pPr>
      <w:r>
        <w:rPr>
          <w:rFonts w:hint="eastAsia" w:ascii="Times New Roman" w:hAnsi="Times New Roman" w:eastAsia="仿宋" w:cs="Times New Roman"/>
          <w:sz w:val="32"/>
          <w:szCs w:val="24"/>
          <w:lang w:val="en-US" w:eastAsia="zh-CN"/>
        </w:rPr>
        <w:t> 5月17日，中国商务部新闻发言人就中美经贸磋商初步成果答记者问称，目前，双方在经贸领域达成的初步成果主要有以下几方面：一是双方继续落实好前期磋商成果，并就有关关税安排形成积极共识。二是双方同意成立贸易理事会和投资理事会，讨论双方贸易投资领域各自关切。双方将通过贸易理事会讨论有关产品降税等问题，原则同意对同等规模的各自关注产品降税。三是双方将解决或实质性推动解决部分农产品非关税壁垒和市场准入问题。四是双方同意通过一定范围产品的相互降税等安排，推动扩大包括农产品在内等领域的双向贸易。五是双方就中方向美方采购飞机以及美方保障飞机发动机、零部件对华供应等达成有关安排，同意继续推进相关领域合作。(商务部)</w:t>
      </w:r>
    </w:p>
    <w:p w14:paraId="7BC305D6">
      <w:pPr>
        <w:spacing w:line="360" w:lineRule="auto"/>
        <w:jc w:val="left"/>
        <w:rPr>
          <w:rFonts w:hint="eastAsia" w:ascii="Times New Roman" w:hAnsi="Times New Roman" w:eastAsia="仿宋" w:cs="Times New Roman"/>
          <w:sz w:val="32"/>
          <w:szCs w:val="24"/>
          <w:lang w:val="en-US" w:eastAsia="zh-CN"/>
        </w:rPr>
      </w:pPr>
    </w:p>
    <w:p w14:paraId="0EB3092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央企“十五五”路线图敲定：国资委推动产业体系整体跃升</w:t>
      </w:r>
    </w:p>
    <w:p w14:paraId="07841AAF">
      <w:pPr>
        <w:spacing w:line="360" w:lineRule="auto"/>
        <w:ind w:firstLine="640" w:firstLineChars="200"/>
        <w:jc w:val="left"/>
        <w:rPr>
          <w:rFonts w:hint="eastAsia" w:ascii="Times New Roman" w:hAnsi="Times New Roman" w:eastAsia="仿宋" w:cs="Times New Roman"/>
          <w:sz w:val="32"/>
          <w:szCs w:val="24"/>
          <w:lang w:val="en-US" w:eastAsia="zh-CN"/>
        </w:rPr>
      </w:pPr>
      <w:r>
        <w:rPr>
          <w:rFonts w:hint="eastAsia" w:ascii="Times New Roman" w:hAnsi="Times New Roman" w:eastAsia="仿宋" w:cs="Times New Roman"/>
          <w:sz w:val="32"/>
          <w:szCs w:val="24"/>
          <w:lang w:val="en-US" w:eastAsia="zh-CN"/>
        </w:rPr>
        <w:t>5月13日，国务院国资委党委召开专题会议，研究审议《中央企业“十五五”发展规划纲要》编制工作。会议强调，要在产业链强基补短、能源资源保障、前瞻产业布局等方向梯次部署一批标志性工程。推动中央企业产业体系整体跃升，一体推进传统产业转型升级和新兴支柱产业培育。(证券时报)</w:t>
      </w:r>
    </w:p>
    <w:p w14:paraId="445F0B5B">
      <w:pPr>
        <w:spacing w:line="360" w:lineRule="auto"/>
        <w:ind w:firstLine="640" w:firstLineChars="200"/>
        <w:jc w:val="left"/>
        <w:rPr>
          <w:rFonts w:hint="eastAsia" w:ascii="Times New Roman" w:hAnsi="Times New Roman" w:eastAsia="仿宋" w:cs="Times New Roman"/>
          <w:sz w:val="32"/>
          <w:szCs w:val="24"/>
          <w:lang w:val="en-US" w:eastAsia="zh-CN"/>
        </w:rPr>
      </w:pPr>
    </w:p>
    <w:p w14:paraId="24BC51B9">
      <w:pPr>
        <w:spacing w:line="240" w:lineRule="auto"/>
        <w:ind w:left="0" w:leftChars="0" w:firstLine="0" w:firstLineChars="0"/>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韩国将投入超1亿美元扶持中小企业，覆盖半导体产业</w:t>
      </w:r>
    </w:p>
    <w:p w14:paraId="43D5ECBE">
      <w:pPr>
        <w:spacing w:line="240" w:lineRule="auto"/>
        <w:ind w:left="0" w:leftChars="0"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5月17日，韩国政府周日宣布，将投入1700亿韩元（约合1.133亿美元），扶持生产高端战略材料、零部件及装备的中小企业。此次扶持范围同时覆盖尖端半导体及相关产业。韩国产业部表示，该扶持项目旨在助力优质中小配套企业生产高科技产业链稳定运转所需的核心材料与战略物资，项目申报截止日期为7月17日。部门进一步说明，符合条件的企业新增本土设备投资，最高可获得30%至50%的资金扶持。今年韩国中央财政为此划拨1000亿韩元，较去年增加300亿韩元。产业部称，叠加地方政府配套资金后，整体扶持规模预计达1700亿韩元。（商务部）</w:t>
      </w:r>
    </w:p>
    <w:p w14:paraId="699A251B">
      <w:pPr>
        <w:spacing w:line="360" w:lineRule="auto"/>
        <w:ind w:firstLine="640" w:firstLineChars="200"/>
        <w:jc w:val="left"/>
        <w:rPr>
          <w:rFonts w:hint="eastAsia" w:ascii="Times New Roman" w:hAnsi="Times New Roman" w:eastAsia="仿宋" w:cs="Times New Roman"/>
          <w:sz w:val="32"/>
          <w:szCs w:val="24"/>
          <w:lang w:val="en-US" w:eastAsia="zh-CN"/>
        </w:rPr>
      </w:pPr>
    </w:p>
    <w:p w14:paraId="156C9588">
      <w:pPr>
        <w:keepNext/>
        <w:keepLines/>
        <w:widowControl w:val="0"/>
        <w:numPr>
          <w:ilvl w:val="0"/>
          <w:numId w:val="1"/>
        </w:numPr>
        <w:bidi w:val="0"/>
        <w:spacing w:before="260" w:beforeLines="0" w:beforeAutospacing="0" w:after="260" w:afterLines="0" w:afterAutospacing="0" w:line="413" w:lineRule="auto"/>
        <w:ind w:left="0" w:leftChars="0" w:firstLine="0" w:firstLineChars="0"/>
        <w:jc w:val="left"/>
        <w:outlineLvl w:val="1"/>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市场</w:t>
      </w:r>
    </w:p>
    <w:p w14:paraId="2C521472">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今年以来我国未来产业布局提速</w:t>
      </w:r>
    </w:p>
    <w:p w14:paraId="0A6CCC96">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5月13日，央视网消息，今年以来，我国不断完善未来产业布局，一批前沿技术加快突破，新赛道培育扎实推进。今年以来我国未来产业布局提速。围绕通用人工智能、量子科技、原子级制造、清洁低碳氢等重点领域，国家已累计部署未来产业创新任务“揭榜挂帅”攻关任务100多项，建设一批典型应用场景。同时，系统布局一批未来产业重点领域制造业创新中心、中试平台等。(央视网)</w:t>
      </w:r>
    </w:p>
    <w:p w14:paraId="43A9EA19">
      <w:pPr>
        <w:spacing w:line="360" w:lineRule="auto"/>
        <w:jc w:val="left"/>
        <w:rPr>
          <w:rFonts w:hint="eastAsia" w:ascii="Times New Roman" w:hAnsi="Times New Roman" w:eastAsia="仿宋" w:cs="Times New Roman"/>
          <w:sz w:val="32"/>
          <w:szCs w:val="24"/>
          <w:highlight w:val="none"/>
          <w:lang w:val="en-US" w:eastAsia="zh-CN"/>
        </w:rPr>
      </w:pPr>
    </w:p>
    <w:p w14:paraId="1BA827A9">
      <w:pPr>
        <w:spacing w:line="240" w:lineRule="auto"/>
        <w:ind w:left="0" w:leftChars="0" w:firstLine="640" w:firstLineChars="200"/>
        <w:jc w:val="left"/>
        <w:rPr>
          <w:rFonts w:hint="default" w:ascii="Times New Roman" w:hAnsi="Times New Roman" w:eastAsia="仿宋" w:cs="Times New Roman"/>
          <w:sz w:val="32"/>
          <w:szCs w:val="24"/>
          <w:highlight w:val="none"/>
          <w:lang w:val="en-US" w:eastAsia="zh-CN"/>
        </w:rPr>
      </w:pPr>
    </w:p>
    <w:p w14:paraId="2644C559">
      <w:pPr>
        <w:spacing w:line="240" w:lineRule="auto"/>
        <w:ind w:left="0" w:leftChars="0" w:firstLine="0" w:firstLineChars="0"/>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4月我国新能源汽车新车销量占有率达53.2%</w:t>
      </w:r>
    </w:p>
    <w:p w14:paraId="0CC4D70F">
      <w:pPr>
        <w:spacing w:line="240" w:lineRule="auto"/>
        <w:ind w:left="0" w:leftChars="0" w:firstLine="640" w:firstLineChars="200"/>
        <w:jc w:val="left"/>
        <w:rPr>
          <w:rFonts w:hint="default"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5月11日，中国汽车工业协会发布数据显示，2026年4月，我国新能源汽车产销分别完成132万辆和134.4万辆，同比分别增长5.5%和9.7%，新能源汽车新车销量达到汽车新车总销量的53.2%。整体来看，前4个月，汽车产销分别完成961.4万辆和957.4万辆，其中新能源汽车产销分别完成428.5万辆和430.4万辆；汽车出口312.7万辆，同比增长61.5%，其中新能源汽车出口138.4万辆，同比增长1.2倍。中汽协会副秘书长陈士华分析称，4月，我国汽车产销较去年同期小幅下降，累计产销降幅进一步收窄。“近期一系列政策举措释放积极信号，将有助于改善汽车内需市场，巩固外贸优势，推动行业稳定运行与高质量发展。”（界面新闻）</w:t>
      </w:r>
    </w:p>
    <w:p w14:paraId="16D8ABEC">
      <w:pPr>
        <w:spacing w:line="360" w:lineRule="auto"/>
        <w:jc w:val="left"/>
        <w:rPr>
          <w:rFonts w:hint="eastAsia" w:ascii="Times New Roman" w:hAnsi="Times New Roman" w:eastAsia="仿宋" w:cs="Times New Roman"/>
          <w:sz w:val="32"/>
          <w:szCs w:val="24"/>
          <w:highlight w:val="none"/>
          <w:lang w:val="en-US" w:eastAsia="zh-CN"/>
        </w:rPr>
      </w:pPr>
    </w:p>
    <w:p w14:paraId="4D02DBEA">
      <w:pPr>
        <w:keepNext/>
        <w:keepLines/>
        <w:widowControl w:val="0"/>
        <w:numPr>
          <w:ilvl w:val="0"/>
          <w:numId w:val="1"/>
        </w:numPr>
        <w:bidi w:val="0"/>
        <w:spacing w:before="260" w:beforeLines="0" w:beforeAutospacing="0" w:after="260" w:afterLines="0" w:afterAutospacing="0" w:line="413" w:lineRule="auto"/>
        <w:ind w:left="0" w:leftChars="0" w:firstLine="0" w:firstLineChars="0"/>
        <w:jc w:val="left"/>
        <w:outlineLvl w:val="1"/>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企业</w:t>
      </w:r>
    </w:p>
    <w:p w14:paraId="7BBFDE17">
      <w:pPr>
        <w:spacing w:line="360" w:lineRule="auto"/>
        <w:jc w:val="center"/>
        <w:rPr>
          <w:rFonts w:hint="default"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长鑫科技更新科创板IPO招股书，存储行情推动Q1业绩快速增长</w:t>
      </w:r>
    </w:p>
    <w:p w14:paraId="03F24179">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5月17日，上交所官网显示，长鑫科技提交更新了财务资料后的招股说明书。其中的核心看点是，长鑫科技披露2025年度财务数据显示，该公司已于2025年实现首次年度归母净利润转正，同时今年一季度受益于存储行情，业绩大幅增长。（证券时报）</w:t>
      </w:r>
    </w:p>
    <w:p w14:paraId="62A5C3F7">
      <w:pPr>
        <w:spacing w:line="360" w:lineRule="auto"/>
        <w:jc w:val="left"/>
        <w:rPr>
          <w:rFonts w:hint="eastAsia" w:ascii="Times New Roman" w:hAnsi="Times New Roman" w:eastAsia="仿宋" w:cs="Times New Roman"/>
          <w:sz w:val="32"/>
          <w:szCs w:val="24"/>
          <w:highlight w:val="none"/>
          <w:lang w:val="en-US" w:eastAsia="zh-CN"/>
        </w:rPr>
      </w:pPr>
    </w:p>
    <w:p w14:paraId="3D7A82BE">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海光信息：为“能源电力行业第一届人工智能创新研发交流活动”提供算力支撑</w:t>
      </w:r>
    </w:p>
    <w:p w14:paraId="4C8F5A4E">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5月15日，由中国电力企业联合会大数据与人工智能分会举办的“能源电力行业第一届人工智能创新研发交流活动”启动会成功举行，本届活动中，海光DCU将为研发团队提供高性能算力、大容量存储及大模型全流程服务，全面支撑集中式光伏及风电发电功率预测、风机叶片检测、电网检修及负荷预测、源储荷协同调控等20多个研发方向。（财联社）</w:t>
      </w:r>
    </w:p>
    <w:p w14:paraId="68B21210">
      <w:pPr>
        <w:spacing w:line="360" w:lineRule="auto"/>
        <w:jc w:val="left"/>
        <w:rPr>
          <w:rFonts w:hint="eastAsia" w:ascii="Times New Roman" w:hAnsi="Times New Roman" w:eastAsia="仿宋" w:cs="Times New Roman"/>
          <w:sz w:val="32"/>
          <w:szCs w:val="24"/>
          <w:highlight w:val="none"/>
          <w:lang w:val="en-US" w:eastAsia="zh-CN"/>
        </w:rPr>
      </w:pPr>
    </w:p>
    <w:p w14:paraId="7CF2C053">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三星电子开发下一代HBM封装技术 或用于智能手机等移动设备</w:t>
      </w:r>
    </w:p>
    <w:p w14:paraId="6117B37C">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5月15日，据科技媒体Trendforce报道，三星电子正在积极开发面向智能手机和平板电脑等移动设备的下一代HBM（高带宽内存）封装技术，旨在为移动端AI应用提供强大的算力支撑。该技术名为"多层堆叠FOWLP"，被视为三星此前VCS（垂直铜柱堆叠）技术的重大升级，有望将移动内存带宽提升15%至30%。（环球网）</w:t>
      </w:r>
    </w:p>
    <w:p w14:paraId="4B5FE090">
      <w:pPr>
        <w:spacing w:line="360" w:lineRule="auto"/>
        <w:jc w:val="left"/>
        <w:rPr>
          <w:rFonts w:hint="eastAsia" w:ascii="Times New Roman" w:hAnsi="Times New Roman" w:eastAsia="仿宋" w:cs="Times New Roman"/>
          <w:sz w:val="32"/>
          <w:szCs w:val="24"/>
          <w:highlight w:val="none"/>
          <w:lang w:val="en-US" w:eastAsia="zh-CN"/>
        </w:rPr>
      </w:pPr>
    </w:p>
    <w:p w14:paraId="0838DD01">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弘信电子无锡建“Token工厂”</w:t>
      </w:r>
    </w:p>
    <w:p w14:paraId="0C957718">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5月17日，弘信电子宣布与无锡高新区合作，共同建立一座大规模的“Token工厂”。这一合作项目旨在打造一个规模化、高性能的“国芯国模”算力集群新样板，以满足日益增长的算力需求。根据项目规划，无锡高新区的“Token工厂”首批将部署4台华为昇腾384超节点服务器。每套超节点服务器具备384卡算力规模，通过将4个384张GPU连接成一个超级集群，实现强大的计算能力。这一举措将为当地及周边地区的数字化转型和人工智能发展提供强有力的算力支持。（南方网）</w:t>
      </w:r>
    </w:p>
    <w:p w14:paraId="5F45228F">
      <w:pPr>
        <w:spacing w:line="360" w:lineRule="auto"/>
        <w:jc w:val="left"/>
        <w:rPr>
          <w:rFonts w:hint="eastAsia" w:ascii="Times New Roman" w:hAnsi="Times New Roman" w:eastAsia="仿宋" w:cs="Times New Roman"/>
          <w:sz w:val="32"/>
          <w:szCs w:val="24"/>
          <w:highlight w:val="none"/>
          <w:lang w:val="en-US" w:eastAsia="zh-CN"/>
        </w:rPr>
      </w:pPr>
    </w:p>
    <w:p w14:paraId="66BFAE56">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中国巨石拟44亿元投建电子布项目</w:t>
      </w:r>
    </w:p>
    <w:p w14:paraId="278F9419">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b w:val="0"/>
          <w:bCs w:val="0"/>
          <w:sz w:val="32"/>
          <w:szCs w:val="24"/>
          <w:highlight w:val="none"/>
          <w:lang w:val="en-US" w:eastAsia="zh-CN"/>
        </w:rPr>
        <w:t>5月13日，全球玻纤龙头中国巨石</w:t>
      </w:r>
      <w:bookmarkStart w:id="0" w:name="_GoBack"/>
      <w:bookmarkEnd w:id="0"/>
      <w:r>
        <w:rPr>
          <w:rFonts w:hint="eastAsia" w:ascii="Times New Roman" w:hAnsi="Times New Roman" w:eastAsia="仿宋" w:cs="Times New Roman"/>
          <w:b w:val="0"/>
          <w:bCs w:val="0"/>
          <w:sz w:val="32"/>
          <w:szCs w:val="24"/>
          <w:highlight w:val="none"/>
          <w:lang w:val="en-US" w:eastAsia="zh-CN"/>
        </w:rPr>
        <w:t>公告披露，其拟投资44.31亿元，在江苏淮安建设年产5万吨电子纱暨3.2亿米电子布生产线。中国巨石相关人士在接受《中国经营报》记者采访时表示，本次规划建设的生产线，产品以7628型厚布、薄布及超薄布为主。根据公告，该项目选址江苏省淮安市涟水县新材料产业园，建设周期为1.5年，由中国巨石全资子公司巨石集团淮安有限公司实施。此前3月18日，中国巨石淮安基地年产10万吨电子级玻纤暨3.9亿米电子布生产线已成功点火。（</w:t>
      </w:r>
      <w:r>
        <w:rPr>
          <w:rFonts w:hint="eastAsia" w:ascii="Times New Roman" w:hAnsi="Times New Roman" w:eastAsia="仿宋" w:cs="Times New Roman"/>
          <w:sz w:val="32"/>
          <w:szCs w:val="24"/>
          <w:highlight w:val="none"/>
          <w:lang w:val="en-US" w:eastAsia="zh-CN"/>
        </w:rPr>
        <w:t>光纤在线）</w:t>
      </w:r>
    </w:p>
    <w:p w14:paraId="22417B2E">
      <w:pPr>
        <w:spacing w:line="360" w:lineRule="auto"/>
        <w:jc w:val="left"/>
        <w:rPr>
          <w:rFonts w:hint="eastAsia" w:ascii="Times New Roman" w:hAnsi="Times New Roman" w:eastAsia="仿宋" w:cs="Times New Roman"/>
          <w:sz w:val="32"/>
          <w:szCs w:val="24"/>
          <w:highlight w:val="none"/>
          <w:lang w:val="en-US" w:eastAsia="zh-CN"/>
        </w:rPr>
      </w:pPr>
    </w:p>
    <w:p w14:paraId="4D130065">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中钨高新：控股子公司拟投资1.825亿元新增高端微型精密刀具年产能1.5亿支</w:t>
      </w:r>
    </w:p>
    <w:p w14:paraId="75F646C9">
      <w:pPr>
        <w:spacing w:line="360" w:lineRule="auto"/>
        <w:ind w:firstLine="640" w:firstLineChars="200"/>
        <w:jc w:val="left"/>
        <w:rPr>
          <w:rFonts w:hint="default" w:ascii="Times New Roman" w:hAnsi="Times New Roman" w:eastAsia="仿宋" w:cs="Times New Roman"/>
          <w:kern w:val="0"/>
          <w:sz w:val="24"/>
          <w:szCs w:val="24"/>
          <w:lang w:val="en-US" w:eastAsia="zh-CN" w:bidi="ar"/>
        </w:rPr>
      </w:pPr>
      <w:r>
        <w:rPr>
          <w:rFonts w:hint="eastAsia" w:ascii="Times New Roman" w:hAnsi="Times New Roman" w:eastAsia="仿宋" w:cs="Times New Roman"/>
          <w:b w:val="0"/>
          <w:bCs w:val="0"/>
          <w:sz w:val="32"/>
          <w:szCs w:val="24"/>
          <w:highlight w:val="none"/>
          <w:lang w:val="en-US" w:eastAsia="zh-CN"/>
        </w:rPr>
        <w:t>5月15日晚间公告，公司董事会审议通过了控股子公司深圳市金洲精工科技股份有限公司的“印制电路板用高端微型精密刀具技改扩能项目”，预计总投资1.825亿元。项目将在金洲公司现有厂房实施，建设期一年，第二年达产，新增高端微型精密刀具产能1.5亿支/年。经初步测算，项目投资财务内部收益率（所得税后）为16.48%。资金来源为金洲公司自有资金1.625亿元，银行借款0.2亿元。公告称，随着世界电子信息产业的发展，电子电路市场需求快速上升，印制电路用微型精密刀具有着良好的市场前景，金洲公司现有产能无法满足市场需求。</w:t>
      </w:r>
      <w:r>
        <w:rPr>
          <w:rFonts w:hint="eastAsia" w:ascii="Times New Roman" w:hAnsi="Times New Roman" w:eastAsia="仿宋" w:cs="Times New Roman"/>
          <w:sz w:val="32"/>
          <w:szCs w:val="24"/>
          <w:highlight w:val="none"/>
          <w:lang w:val="en-US" w:eastAsia="zh-CN"/>
        </w:rPr>
        <w:t>（WIND）</w:t>
      </w:r>
      <w:r>
        <w:rPr>
          <w:rFonts w:hint="default" w:ascii="Times New Roman" w:hAnsi="Times New Roman" w:eastAsia="仿宋" w:cs="Times New Roman"/>
          <w:kern w:val="0"/>
          <w:sz w:val="24"/>
          <w:szCs w:val="24"/>
          <w:lang w:val="en-US" w:eastAsia="zh-CN" w:bidi="ar"/>
        </w:rPr>
        <w:drawing>
          <wp:inline distT="0" distB="0" distL="114300" distR="114300">
            <wp:extent cx="5273675" cy="3503295"/>
            <wp:effectExtent l="0" t="0" r="9525" b="1905"/>
            <wp:docPr id="2" name="图片 2" descr="467b3544aa10c7b69a0d3f65ce8dd4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67b3544aa10c7b69a0d3f65ce8dd4d2"/>
                    <pic:cNvPicPr>
                      <a:picLocks noChangeAspect="1"/>
                    </pic:cNvPicPr>
                  </pic:nvPicPr>
                  <pic:blipFill>
                    <a:blip r:embed="rId5"/>
                    <a:stretch>
                      <a:fillRect/>
                    </a:stretch>
                  </pic:blipFill>
                  <pic:spPr>
                    <a:xfrm>
                      <a:off x="0" y="0"/>
                      <a:ext cx="5273675" cy="3503295"/>
                    </a:xfrm>
                    <a:prstGeom prst="rect">
                      <a:avLst/>
                    </a:prstGeom>
                  </pic:spPr>
                </pic:pic>
              </a:graphicData>
            </a:graphic>
          </wp:inline>
        </w:drawing>
      </w:r>
    </w:p>
    <w:p w14:paraId="5004A3C8">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更多精彩内容请扫描下方二维码，关注CPCA服务号</w:t>
      </w:r>
    </w:p>
    <w:p w14:paraId="70D08752">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撰稿人：张国旗</w:t>
      </w:r>
    </w:p>
    <w:p w14:paraId="2387C8E8">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审核：张运</w:t>
      </w:r>
    </w:p>
    <w:p w14:paraId="044B3D61">
      <w:pPr>
        <w:widowControl w:val="0"/>
        <w:bidi w:val="0"/>
        <w:spacing w:line="240" w:lineRule="auto"/>
        <w:ind w:left="0" w:leftChars="0" w:firstLine="0" w:firstLineChars="0"/>
        <w:jc w:val="right"/>
        <w:rPr>
          <w:rFonts w:hint="default" w:ascii="Times New Roman" w:hAnsi="Times New Roman" w:eastAsia="仿宋" w:cs="Times New Roman"/>
          <w:sz w:val="32"/>
          <w:szCs w:val="24"/>
          <w:lang w:val="en-US" w:eastAsia="zh-CN"/>
        </w:rPr>
      </w:pPr>
      <w:r>
        <w:rPr>
          <w:rFonts w:ascii="Times New Roman" w:hAnsi="Times New Roman" w:eastAsia="仿宋" w:cs="Times New Roman"/>
          <w:sz w:val="32"/>
          <w:szCs w:val="24"/>
        </w:rPr>
        <w:drawing>
          <wp:inline distT="0" distB="0" distL="114300" distR="114300">
            <wp:extent cx="1187450" cy="1168400"/>
            <wp:effectExtent l="0" t="0" r="635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6"/>
                    <a:stretch>
                      <a:fillRect/>
                    </a:stretch>
                  </pic:blipFill>
                  <pic:spPr>
                    <a:xfrm>
                      <a:off x="0" y="0"/>
                      <a:ext cx="1187450" cy="1168400"/>
                    </a:xfrm>
                    <a:prstGeom prst="rect">
                      <a:avLst/>
                    </a:prstGeom>
                    <a:noFill/>
                    <a:ln>
                      <a:noFill/>
                    </a:ln>
                  </pic:spPr>
                </pic:pic>
              </a:graphicData>
            </a:graphic>
          </wp:inline>
        </w:drawing>
      </w:r>
    </w:p>
    <w:p w14:paraId="077ACD8E"/>
    <w:sectPr>
      <w:headerReference r:id="rId3" w:type="default"/>
      <w:pgSz w:w="11906" w:h="16838"/>
      <w:pgMar w:top="156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F4FE4">
    <w:pPr>
      <w:pStyle w:val="4"/>
      <w:pBdr>
        <w:bottom w:val="none" w:color="auto" w:sz="0" w:space="0"/>
      </w:pBdr>
      <w:jc w:val="both"/>
    </w:pPr>
    <w:r>
      <w:drawing>
        <wp:anchor distT="0" distB="0" distL="114300" distR="114300" simplePos="0" relativeHeight="251659264" behindDoc="1" locked="0" layoutInCell="1" allowOverlap="1">
          <wp:simplePos x="0" y="0"/>
          <wp:positionH relativeFrom="margin">
            <wp:align>center</wp:align>
          </wp:positionH>
          <wp:positionV relativeFrom="paragraph">
            <wp:posOffset>69215</wp:posOffset>
          </wp:positionV>
          <wp:extent cx="6782435" cy="513080"/>
          <wp:effectExtent l="0" t="0" r="0" b="1270"/>
          <wp:wrapTight wrapText="bothSides">
            <wp:wrapPolygon>
              <wp:start x="15713" y="0"/>
              <wp:lineTo x="0" y="0"/>
              <wp:lineTo x="0" y="18446"/>
              <wp:lineTo x="5703" y="20851"/>
              <wp:lineTo x="21477" y="20851"/>
              <wp:lineTo x="21477" y="17644"/>
              <wp:lineTo x="20203" y="13634"/>
              <wp:lineTo x="19232" y="12832"/>
              <wp:lineTo x="21355" y="8822"/>
              <wp:lineTo x="21477" y="4812"/>
              <wp:lineTo x="20809" y="0"/>
              <wp:lineTo x="15713" y="0"/>
            </wp:wrapPolygon>
          </wp:wrapTight>
          <wp:docPr id="1" name="图片 1" descr="C:\Users\Administrator\Desktop\未标题-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未标题-1.w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6782585" cy="51308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DB433"/>
    <w:multiLevelType w:val="singleLevel"/>
    <w:tmpl w:val="B13DB4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A87"/>
    <w:rsid w:val="00065C06"/>
    <w:rsid w:val="0035113B"/>
    <w:rsid w:val="003A66A4"/>
    <w:rsid w:val="004F2A87"/>
    <w:rsid w:val="006B3D1E"/>
    <w:rsid w:val="007065AE"/>
    <w:rsid w:val="0073199B"/>
    <w:rsid w:val="007456A0"/>
    <w:rsid w:val="008355BB"/>
    <w:rsid w:val="009014D3"/>
    <w:rsid w:val="00C372FC"/>
    <w:rsid w:val="00D65DCA"/>
    <w:rsid w:val="00E70812"/>
    <w:rsid w:val="00F70C01"/>
    <w:rsid w:val="00FF5190"/>
    <w:rsid w:val="045F663E"/>
    <w:rsid w:val="06B47FC9"/>
    <w:rsid w:val="071C1AB9"/>
    <w:rsid w:val="07221569"/>
    <w:rsid w:val="07DD40F6"/>
    <w:rsid w:val="083B7C49"/>
    <w:rsid w:val="0CB1267E"/>
    <w:rsid w:val="0E0A67C5"/>
    <w:rsid w:val="0E73679E"/>
    <w:rsid w:val="0FA436B7"/>
    <w:rsid w:val="0FAD6545"/>
    <w:rsid w:val="0FC0235B"/>
    <w:rsid w:val="10CF4D8A"/>
    <w:rsid w:val="164B0998"/>
    <w:rsid w:val="1CDA2E0B"/>
    <w:rsid w:val="21A55BAC"/>
    <w:rsid w:val="21A60DC4"/>
    <w:rsid w:val="225C17EC"/>
    <w:rsid w:val="236405A0"/>
    <w:rsid w:val="25AF1BE4"/>
    <w:rsid w:val="25B55B0A"/>
    <w:rsid w:val="25EE16C9"/>
    <w:rsid w:val="264A2919"/>
    <w:rsid w:val="266175BF"/>
    <w:rsid w:val="27003495"/>
    <w:rsid w:val="28C049EA"/>
    <w:rsid w:val="29163431"/>
    <w:rsid w:val="29EF0897"/>
    <w:rsid w:val="2B767FBE"/>
    <w:rsid w:val="2BF15CE7"/>
    <w:rsid w:val="2D364384"/>
    <w:rsid w:val="2DC669A6"/>
    <w:rsid w:val="2E4775E3"/>
    <w:rsid w:val="2EDE3EE6"/>
    <w:rsid w:val="315179C6"/>
    <w:rsid w:val="33274995"/>
    <w:rsid w:val="33A475BE"/>
    <w:rsid w:val="33C137F8"/>
    <w:rsid w:val="369A381C"/>
    <w:rsid w:val="36ED7D2B"/>
    <w:rsid w:val="381216B5"/>
    <w:rsid w:val="38AD19AF"/>
    <w:rsid w:val="39431EEE"/>
    <w:rsid w:val="39F27144"/>
    <w:rsid w:val="3A522D3D"/>
    <w:rsid w:val="3A6D2312"/>
    <w:rsid w:val="3B265F2E"/>
    <w:rsid w:val="3B766568"/>
    <w:rsid w:val="3ED15FEF"/>
    <w:rsid w:val="3EDF266A"/>
    <w:rsid w:val="3F233925"/>
    <w:rsid w:val="3FDD3C4F"/>
    <w:rsid w:val="44BD69EB"/>
    <w:rsid w:val="456055DE"/>
    <w:rsid w:val="45F31C63"/>
    <w:rsid w:val="4B4134FD"/>
    <w:rsid w:val="4B543446"/>
    <w:rsid w:val="4E4364C2"/>
    <w:rsid w:val="50EA418D"/>
    <w:rsid w:val="510C0237"/>
    <w:rsid w:val="521E7BC5"/>
    <w:rsid w:val="52793D86"/>
    <w:rsid w:val="536C7C6B"/>
    <w:rsid w:val="53A662DF"/>
    <w:rsid w:val="53AD3873"/>
    <w:rsid w:val="557B2A48"/>
    <w:rsid w:val="55DB0099"/>
    <w:rsid w:val="57F01B04"/>
    <w:rsid w:val="596C1A28"/>
    <w:rsid w:val="59E7637A"/>
    <w:rsid w:val="59EE1099"/>
    <w:rsid w:val="5CF95551"/>
    <w:rsid w:val="5D9615A2"/>
    <w:rsid w:val="61863437"/>
    <w:rsid w:val="61E21505"/>
    <w:rsid w:val="624D40D3"/>
    <w:rsid w:val="62E354DE"/>
    <w:rsid w:val="632528C9"/>
    <w:rsid w:val="642D34F2"/>
    <w:rsid w:val="64592EAE"/>
    <w:rsid w:val="65326415"/>
    <w:rsid w:val="65FB0E53"/>
    <w:rsid w:val="66452A5A"/>
    <w:rsid w:val="68BE0B64"/>
    <w:rsid w:val="68D47E6F"/>
    <w:rsid w:val="692244D0"/>
    <w:rsid w:val="6968585F"/>
    <w:rsid w:val="6A19339F"/>
    <w:rsid w:val="6BCE176C"/>
    <w:rsid w:val="6D07449C"/>
    <w:rsid w:val="6D8365BD"/>
    <w:rsid w:val="6E2A4350"/>
    <w:rsid w:val="6E3E1339"/>
    <w:rsid w:val="6F0F1346"/>
    <w:rsid w:val="6F57027E"/>
    <w:rsid w:val="6F7810F5"/>
    <w:rsid w:val="71313AC1"/>
    <w:rsid w:val="72DB7A02"/>
    <w:rsid w:val="72DE08AE"/>
    <w:rsid w:val="72EE6ECA"/>
    <w:rsid w:val="752B4467"/>
    <w:rsid w:val="772054B7"/>
    <w:rsid w:val="77B64349"/>
    <w:rsid w:val="78404F59"/>
    <w:rsid w:val="78D0113A"/>
    <w:rsid w:val="79120DC0"/>
    <w:rsid w:val="7B086666"/>
    <w:rsid w:val="7C007CD6"/>
    <w:rsid w:val="7C6C3669"/>
    <w:rsid w:val="7CFB2380"/>
    <w:rsid w:val="7DC1685E"/>
    <w:rsid w:val="7E4839B7"/>
    <w:rsid w:val="7E9D64A0"/>
    <w:rsid w:val="7F726CC2"/>
    <w:rsid w:val="7FC73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2855</Words>
  <Characters>3215</Characters>
  <Lines>0</Lines>
  <Paragraphs>0</Paragraphs>
  <TotalTime>11</TotalTime>
  <ScaleCrop>false</ScaleCrop>
  <LinksUpToDate>false</LinksUpToDate>
  <CharactersWithSpaces>3259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2021-09-23T01:41:00Z</dcterms:created>
  <dc:creator>A</dc:creator>
  <cp:lastModifiedBy>朕已阅</cp:lastModifiedBy>
  <cp:lastPrinted>2021-09-23T03:57:00Z</cp:lastPrinted>
  <dcterms:modified xsi:type="dcterms:W3CDTF">2026-05-18T01:33:07Z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eyJoZGlkIjoiZWFlNjQ3NDIwZDEwN2RkZjI5ZmVhOGI2NjVlYTBkMTciLCJ1c2VySWQiOiIxMzgyMTM1ODU2In0=</vt:lpwstr>
  </property>
  <property fmtid="{D5CDD505-2E9C-101B-9397-08002B2CF9AE}" pid="3" name="KSOProductBuildVer">
    <vt:lpwstr>2052-12.1.0.25865</vt:lpwstr>
  </property>
  <property fmtid="{D5CDD505-2E9C-101B-9397-08002B2CF9AE}" pid="4" name="ICV">
    <vt:lpwstr>CB3D9C1DBE4847E587DA2B497B32EEF1_13</vt:lpwstr>
  </property>
</Properties>
</file>