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第140期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                                            2026年6月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每周资讯|工信部深入实施"人工智能+制造"专项行动；1—5月我国电子电路制造业投资同比增50.9%；深南电路拟定增募资不超48.82亿元..</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456749F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1—5月我国电子电路制造业投资同比增50.9%</w:t>
      </w:r>
    </w:p>
    <w:p w14:paraId="354CFA9B">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16日，国家统计局发布2026年5月份国民经济运行数据。数据显示，1—5月份，全国规模以上工业增加值同比增长5.4%。1—4月份，全国规模以上工业企业实现利润总额24358亿元，同比增长18.2%。值得注意的是，根据国家统计局在国新办举行的新闻发布会上披露的数据，1—5月份，电子电路制造业投资同比增长50.9%，远高于其他高技术产业投资。此外，1—5月份，包括智能眼镜在内的智能可穿戴设备零售额同比增长超过一倍。（国家统计局）</w:t>
      </w:r>
    </w:p>
    <w:p w14:paraId="6DFFC376">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66DD29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p>
    <w:p w14:paraId="1E1435E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工信部：深入实施"人工智能+制造"专项行动</w:t>
      </w:r>
    </w:p>
    <w:p w14:paraId="37EE232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17日，工业和信息化部党组成员、副部长辛国斌在北京主持召开部分省份工业经济运行座谈交流活动，深入学习贯彻中央政治局会议精神，分析研判二季度工业经济形势。会议强调，当前工业经济运行中还存在一些困难和问题，但工业经济发展的基本面和长期向好的趋势没有变。要推动供需适配，深入挖掘内需潜力，扩大优质商品供给，以高质量供给创造和引领需求；要加快培育新动能，深入实施"人工智能+制造"专项行动，加快新一代信息技术全方位全链条普及应用，持续培育壮大新质生产力，深入整治"内卷式"竞争，推动工业经济实现质的有效提升和量的合理增长相统一。会议还要求强化形势研判和政策储备，扎实做好重点企业纾困帮扶，切实推动二季度工业经济平稳运行。（工信微报）</w:t>
      </w:r>
    </w:p>
    <w:p w14:paraId="73931C6A">
      <w:pPr>
        <w:spacing w:line="360" w:lineRule="auto"/>
        <w:jc w:val="left"/>
        <w:rPr>
          <w:rFonts w:hint="eastAsia" w:ascii="Times New Roman" w:hAnsi="Times New Roman" w:eastAsia="仿宋" w:cs="Times New Roman"/>
          <w:sz w:val="32"/>
          <w:szCs w:val="24"/>
          <w:lang w:val="en-US" w:eastAsia="zh-CN"/>
        </w:rPr>
      </w:pPr>
    </w:p>
    <w:p w14:paraId="79653BA4">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5月份规模以上工业增加值增长4.5%，高技术制造业增15.1%</w:t>
      </w:r>
    </w:p>
    <w:p w14:paraId="605783B1">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16日，国家统计局发布数据显示，5月份规模以上工业增加值同比实际增长4.5%，增速比上月加快0.4个百分点；环比增长0.40%。1—5月份，规模以上工业增加值同比增长5.4%。分门类看，装备制造业增加值同比增长9.5%，高技术制造业增加值增长15.1%，分别比上月加快1.2和2.3个百分点。分产品看，3D打印设备、锂离子电池、工业机器人产品产量同比分别增长54.4%、40.0%、27.9%。国家统计局表示，5月份工业生产总体平稳，新动能持续壮大，为电子信息制造及PCB产业链需求提供宏观支撑。（国家统计局）</w:t>
      </w:r>
    </w:p>
    <w:p w14:paraId="7DF9AA0B">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44985A8C">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乘联分会：6月上半月新能源乘用车零售渗透率63.9%</w:t>
      </w:r>
    </w:p>
    <w:p w14:paraId="7ACB1190">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17日，乘联分会发布数据显示，6月1—14日，全国乘用车新能源市场零售34.1万辆，同比去年6月同期下降8%，较上月同期增长5%；新能源厂商批发37.8万辆，同比增长10%。同期全国乘用车市场零售53.4万辆，同比下降18%，燃油车市场持续萎缩。6月前两周新能源零售渗透率达63.9%，6月第一周单周渗透率曾升至66.7%，创国内车市历史新高。中汽协副秘书长陈士华指出，高油价抬升燃油车全周期使用成本，叠加车企新能源车型迭代加快，消费结构向电动化加速切换。机构认为，新能源汽车高渗透率将带动车载电控、智能座舱及汽车电子用高可靠性PCB、HDI板需求维持景气。（乘联分会）</w:t>
      </w:r>
    </w:p>
    <w:p w14:paraId="60A35C04">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5EFF63FB">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国家能源局：风光装机累计并网19.11亿千瓦</w:t>
      </w:r>
    </w:p>
    <w:p w14:paraId="517D0051">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16日，国家能源局召开全国可再生能源电力开发建设月度调度视频会。会议指出，2026年1—4月我国新能源和可再生能源发展总体保持良好态势：截至4月底，可再生能源发电装机突破24亿千瓦，占全国电力总装机60.5%；风电光伏累计并网19.11亿千瓦（风电6.61亿千瓦、光伏发电12.50亿千瓦），发电量合计8052亿千瓦时，占全社会用电量24.1%。会议强调，将进一步加大新能源并网消纳力度，推进绿电直连政策落地，加快大型风电光伏基地建设，并依托价格信号带动储能发展。分析人士指出，风光储装机扩张将拉动逆变器、储能BMS及新能源电力电子设备用PCB、厚铜板需求。（国家能源局）</w:t>
      </w:r>
    </w:p>
    <w:p w14:paraId="73347C07">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52AC3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京津冀首个万台级具身智能机器人超级工厂投产</w:t>
      </w:r>
    </w:p>
    <w:p w14:paraId="70E2B55C">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16日，据中国新闻网报道，位于北京经济技术开发区的领益智造北京具身智能超级工厂正式投产，为京津冀地区首个万台级具身智能机器人制造基地。工厂运营总监介绍，年产能正逐步爬坡，预计2026年实现1万台（套）、2027年达2万台（套）、2030年达50万台（套）；产线覆盖核心零部件、模组到整机组装与测试，支持多机型混线生产，单台全尺寸人形机器人约使用20—30个集成电机模组，出厂前需完成约200项功能性与老化测试。（中国新闻网）</w:t>
      </w:r>
    </w:p>
    <w:p w14:paraId="7994FC76">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31E3689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台积电5月合并营收4169.75亿元，同比增30.1%创单月新高</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10日，台积电公布2026年5月营收报告。5月合并营收约新台币4169.75亿元，较上月增加1.5%，较去年同期增加30.1%，续创单月历史新高，并连续三个月站稳4000亿元大关。累计1—5月营收约1.96万亿元，同比增长30.0%。法人指出，AI晶片、高效能运算及先进制程需求仍供不应求，第二季营运挑战财测高标机率大增；供应链并传出下半年先进制程代工价格将适度调涨，3奈米制程涨幅约15%。AI运算需求由资料中心扩散至主权AI、企业AI与边缘AI，带动先进制程与先进封装需求升温，为PCB及载板产业链提供强劲订单支撑。（工商时报）</w:t>
      </w:r>
    </w:p>
    <w:p w14:paraId="49D3509B">
      <w:pPr>
        <w:spacing w:line="360" w:lineRule="auto"/>
        <w:jc w:val="center"/>
        <w:rPr>
          <w:rFonts w:hint="eastAsia" w:ascii="Arial" w:hAnsi="Arial" w:eastAsia="黑体" w:cs="Times New Roman"/>
          <w:b/>
          <w:kern w:val="2"/>
          <w:sz w:val="32"/>
          <w:szCs w:val="24"/>
          <w:highlight w:val="none"/>
          <w:lang w:val="en-US" w:eastAsia="zh-CN" w:bidi="ar-SA"/>
        </w:rPr>
      </w:pP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深南电路拟定增募资不超48.82亿元，加码AI算力电子电路产品</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12日晚，深南电路公告称，拟向特定对象发行股票募集资金总额不超过48.82亿元，扣除发行费用后用于无锡深南电路AI算力电子电路产品项目及补充流动资金。项目主要生产高速高密高多层PCB产品，用于AI服务器、交换机等领域。公司董秘办表示，本次募投项目将进一步加强公司在AI算力相关产品和技术的布局，扩大高速高密高多层PCB产品产能，以满足下游客户需求。（环球网）</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芯碁微装正式启动港股招股</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17日早间，芯碁微装公告，公司于2026年6月17日至23日进行H股公开发售，本次发行的H股预计于2026年6月26日在香港联交所挂牌并开始上市交易。长江商报记者注意到，芯碁微装本次全球发售H股基础发行股数为1283.865万股，发行价格最高不超过每股252.73港元。以此计算，公司本次最高将募资32.45亿港元，主要投入到强化研发能力、扩充整体产能、战略投资收购等。芯碁微装于2021年4月在科创板上市。截至6月17日收盘，芯碁微装A股股价475.77元/股，年内累计上涨255.5%，市值达626.78亿元。（长江商报）</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东山精密子公司索尔思光电及其下属主体拟实施光芯片及光模块扩建项目</w:t>
      </w:r>
    </w:p>
    <w:p w14:paraId="1961B372">
      <w:pPr>
        <w:spacing w:line="360" w:lineRule="auto"/>
        <w:ind w:firstLine="640" w:firstLineChars="200"/>
        <w:jc w:val="left"/>
        <w:rPr>
          <w:rFonts w:hint="eastAsia" w:ascii="华文仿宋" w:hAnsi="华文仿宋" w:eastAsia="华文仿宋" w:cs="华文仿宋"/>
          <w:color w:val="000000"/>
          <w:kern w:val="0"/>
          <w:sz w:val="28"/>
          <w:szCs w:val="28"/>
          <w:lang w:val="en-US" w:eastAsia="zh-CN" w:bidi="ar"/>
        </w:rPr>
      </w:pPr>
      <w:r>
        <w:rPr>
          <w:rFonts w:hint="eastAsia" w:ascii="Times New Roman" w:hAnsi="Times New Roman" w:eastAsia="仿宋" w:cs="Times New Roman"/>
          <w:sz w:val="32"/>
          <w:szCs w:val="24"/>
          <w:highlight w:val="none"/>
          <w:lang w:val="en-US" w:eastAsia="zh-CN"/>
        </w:rPr>
        <w:t>6月16日晚间，东山精密发布对外投资公告，旗下子公司索尔思光电及其下属主体拟实施光芯片及光模块扩建项目，项目总投资额达12亿美元。长江商报记者注意到，2025年6月，东山精密宣布收购索尔思光电，切入光通信赛道。“追光”一年来，公司业绩与股价齐飞。索尔思光电贡献过半利润。根据扩产公告，本次扩建项目由东山精密旗下的索尔思光电及其子公司负责落地，整体投资规模12亿美元，资金来源为企业自筹。（长江商报）</w:t>
      </w:r>
    </w:p>
    <w:p w14:paraId="01CB4597">
      <w:pPr>
        <w:keepNext w:val="0"/>
        <w:keepLines w:val="0"/>
        <w:widowControl/>
        <w:suppressLineNumbers w:val="0"/>
        <w:spacing w:line="360" w:lineRule="auto"/>
        <w:ind w:firstLine="0" w:firstLineChars="0"/>
        <w:jc w:val="both"/>
        <w:rPr>
          <w:rFonts w:hint="eastAsia" w:ascii="华文仿宋" w:hAnsi="华文仿宋" w:eastAsia="华文仿宋" w:cs="华文仿宋"/>
          <w:color w:val="000000"/>
          <w:kern w:val="0"/>
          <w:sz w:val="28"/>
          <w:szCs w:val="28"/>
          <w:lang w:val="en-US" w:eastAsia="zh-CN" w:bidi="ar"/>
        </w:rPr>
      </w:pPr>
    </w:p>
    <w:p w14:paraId="2CE32163">
      <w:pPr>
        <w:spacing w:line="360" w:lineRule="auto"/>
        <w:jc w:val="center"/>
        <w:rPr>
          <w:rFonts w:hint="eastAsia" w:ascii="Arial" w:hAnsi="Arial" w:eastAsia="黑体" w:cs="Times New Roman"/>
          <w:b/>
          <w:kern w:val="2"/>
          <w:sz w:val="32"/>
          <w:szCs w:val="24"/>
          <w:highlight w:val="none"/>
          <w:lang w:val="en-US" w:eastAsia="zh-CN" w:bidi="ar-SA"/>
        </w:rPr>
      </w:pPr>
    </w:p>
    <w:p w14:paraId="1CBF58D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194A08D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斯迪克拟投约5.65亿元建设高端MLCC离型膜</w:t>
      </w:r>
    </w:p>
    <w:p w14:paraId="2C2284A2">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16日晚间公告称，斯迪克为进一步落实其未来发展战略规划，扩充高端MLCC（多层片式陶瓷电容）离型膜材产能，优化公司产品结构，提升高端产品市场占有率及综合核心竞争力，公司全资子公司斯迪克新型材料（江苏）有限公司拟以自有资金及自筹资金在泗洪经济开发区投资建设年产12亿平方米高端MLCC离型膜项目，项目投资总额预计约5.65亿元。（WIND）</w:t>
      </w:r>
    </w:p>
    <w:p w14:paraId="386F8A1A">
      <w:pPr>
        <w:spacing w:line="360" w:lineRule="auto"/>
        <w:jc w:val="left"/>
        <w:rPr>
          <w:rFonts w:hint="eastAsia" w:ascii="Times New Roman" w:hAnsi="Times New Roman" w:eastAsia="仿宋" w:cs="Times New Roman"/>
          <w:sz w:val="32"/>
          <w:szCs w:val="24"/>
          <w:highlight w:val="none"/>
          <w:lang w:val="en-US" w:eastAsia="zh-CN"/>
        </w:rPr>
      </w:pPr>
      <w:bookmarkStart w:id="0" w:name="_GoBack"/>
      <w:bookmarkEnd w:id="0"/>
    </w:p>
    <w:p w14:paraId="10037AC2">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Principal Mineral完成对覆铜板龙头Isola Group收购</w:t>
      </w:r>
    </w:p>
    <w:p w14:paraId="0EDDABA3">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6月16日，致力于重建全球战略材料供应链工业领域"缺失中游"环节的Principal Mineral宣布，已完成对PCB材料巨头Isola Group的收购，交易于2026年6月16日正式完成交割。Isola成立于1912年，是全球领先的覆铜板（CCL）及绝缘半固化片（PP）制造商，产品广泛用于航空航天、通信、AI基础设施及汽车电子等领域PCB制造。Principal Mineral表示，此次收购与其2025年收购的北美唯一电解铜箔生产商Camden Copper形成协同，贯通PCB两大基础材料——铜箔与覆铜板，增强先进PCB供应链韧性。公司同步宣布获得约2.8亿美元新融资，用于整合协同、先进制造产能扩张及北美、欧洲、亚洲供应链长期投资。（Evertiq）</w:t>
      </w:r>
    </w:p>
    <w:p w14:paraId="3611771F">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5782AC31">
      <w:pPr>
        <w:spacing w:line="360" w:lineRule="auto"/>
        <w:jc w:val="center"/>
        <w:rPr>
          <w:rFonts w:hint="eastAsia" w:ascii="Arial" w:hAnsi="Arial" w:eastAsia="黑体" w:cs="Times New Roman"/>
          <w:b/>
          <w:kern w:val="2"/>
          <w:sz w:val="32"/>
          <w:szCs w:val="24"/>
          <w:highlight w:val="none"/>
          <w:lang w:val="en-US" w:eastAsia="zh-CN" w:bidi="ar-SA"/>
        </w:rPr>
      </w:pPr>
    </w:p>
    <w:p w14:paraId="407368C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F961920">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7D395D4C">
      <w:pPr>
        <w:spacing w:line="360" w:lineRule="auto"/>
        <w:jc w:val="center"/>
        <w:rPr>
          <w:rFonts w:hint="eastAsia" w:ascii="Arial" w:hAnsi="Arial" w:eastAsia="黑体" w:cs="Times New Roman"/>
          <w:b/>
          <w:kern w:val="2"/>
          <w:sz w:val="32"/>
          <w:szCs w:val="24"/>
          <w:highlight w:val="none"/>
          <w:lang w:val="en-US" w:eastAsia="zh-CN" w:bidi="ar-SA"/>
        </w:rPr>
      </w:pPr>
    </w:p>
    <w:p w14:paraId="2D601828">
      <w:pPr>
        <w:spacing w:line="360" w:lineRule="auto"/>
        <w:ind w:firstLine="560" w:firstLineChars="200"/>
        <w:jc w:val="left"/>
        <w:rPr>
          <w:rFonts w:hint="eastAsia" w:ascii="华文仿宋" w:hAnsi="华文仿宋" w:eastAsia="华文仿宋" w:cs="华文仿宋"/>
          <w:color w:val="000000"/>
          <w:kern w:val="0"/>
          <w:sz w:val="28"/>
          <w:szCs w:val="28"/>
          <w:lang w:val="en-US" w:eastAsia="zh-CN" w:bidi="ar"/>
        </w:rPr>
      </w:pPr>
    </w:p>
    <w:p w14:paraId="69DF2115">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E401AB0">
      <w:pPr>
        <w:spacing w:line="360" w:lineRule="auto"/>
        <w:jc w:val="left"/>
        <w:rPr>
          <w:rFonts w:hint="eastAsia" w:ascii="Times New Roman" w:hAnsi="Times New Roman" w:eastAsia="仿宋" w:cs="Times New Roman"/>
          <w:sz w:val="32"/>
          <w:szCs w:val="24"/>
          <w:highlight w:val="none"/>
          <w:lang w:val="en-US" w:eastAsia="zh-CN"/>
        </w:rPr>
      </w:pPr>
    </w:p>
    <w:p w14:paraId="7F6F56B3">
      <w:pPr>
        <w:keepNext w:val="0"/>
        <w:keepLines w:val="0"/>
        <w:widowControl/>
        <w:suppressLineNumbers w:val="0"/>
        <w:spacing w:line="360" w:lineRule="auto"/>
        <w:ind w:firstLine="0" w:firstLineChars="0"/>
        <w:jc w:val="both"/>
        <w:rPr>
          <w:rFonts w:hint="eastAsia" w:ascii="华文仿宋" w:hAnsi="华文仿宋" w:eastAsia="华文仿宋" w:cs="华文仿宋"/>
          <w:color w:val="000000"/>
          <w:kern w:val="0"/>
          <w:sz w:val="28"/>
          <w:szCs w:val="28"/>
          <w:lang w:val="en-US" w:eastAsia="zh-CN" w:bidi="ar"/>
        </w:rPr>
      </w:pPr>
    </w:p>
    <w:p w14:paraId="0AA2B01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1D2A5CA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0B8BC8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646FC81E">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B4D5C7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908F830">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7E20A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6CE98F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C49720F">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40C961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53B1681">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4918E87">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5"/>
                    <a:stretch>
                      <a:fillRect/>
                    </a:stretch>
                  </pic:blipFill>
                  <pic:spPr>
                    <a:xfrm>
                      <a:off x="0" y="0"/>
                      <a:ext cx="1187450" cy="1168400"/>
                    </a:xfrm>
                    <a:prstGeom prst="rect">
                      <a:avLst/>
                    </a:prstGeom>
                    <a:noFill/>
                    <a:ln>
                      <a:noFill/>
                    </a:ln>
                  </pic:spPr>
                </pic:pic>
              </a:graphicData>
            </a:graphic>
          </wp:inline>
        </w:drawing>
      </w:r>
    </w:p>
    <w:p w14:paraId="077ACD8E">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6"/>
                    <a:stretch>
                      <a:fillRect/>
                    </a:stretch>
                  </pic:blipFill>
                  <pic:spPr>
                    <a:xfrm>
                      <a:off x="0" y="0"/>
                      <a:ext cx="5273675" cy="3503295"/>
                    </a:xfrm>
                    <a:prstGeom prst="rect">
                      <a:avLst/>
                    </a:prstGeom>
                  </pic:spPr>
                </pic:pic>
              </a:graphicData>
            </a:graphic>
          </wp:inline>
        </w:drawing>
      </w:r>
    </w:p>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221569"/>
    <w:rsid w:val="07DD40F6"/>
    <w:rsid w:val="083B7C49"/>
    <w:rsid w:val="09AC54C3"/>
    <w:rsid w:val="0CB1267E"/>
    <w:rsid w:val="0D631BFA"/>
    <w:rsid w:val="0E0A67C5"/>
    <w:rsid w:val="0E73679E"/>
    <w:rsid w:val="0FA436B7"/>
    <w:rsid w:val="0FAD6545"/>
    <w:rsid w:val="0FC0235B"/>
    <w:rsid w:val="10CF4D8A"/>
    <w:rsid w:val="164B0998"/>
    <w:rsid w:val="16E96798"/>
    <w:rsid w:val="1CDA2E0B"/>
    <w:rsid w:val="1F777BE6"/>
    <w:rsid w:val="21A55BAC"/>
    <w:rsid w:val="21A60DC4"/>
    <w:rsid w:val="225C17EC"/>
    <w:rsid w:val="236405A0"/>
    <w:rsid w:val="25AF1BE4"/>
    <w:rsid w:val="25B55B0A"/>
    <w:rsid w:val="25EE16C9"/>
    <w:rsid w:val="264A2919"/>
    <w:rsid w:val="266175BF"/>
    <w:rsid w:val="27003495"/>
    <w:rsid w:val="28C049EA"/>
    <w:rsid w:val="29163431"/>
    <w:rsid w:val="29EF0897"/>
    <w:rsid w:val="2B767FBE"/>
    <w:rsid w:val="2BF15CE7"/>
    <w:rsid w:val="2D364384"/>
    <w:rsid w:val="2DC669A6"/>
    <w:rsid w:val="2E4775E3"/>
    <w:rsid w:val="2EDE3EE6"/>
    <w:rsid w:val="315179C6"/>
    <w:rsid w:val="33274995"/>
    <w:rsid w:val="33A475BE"/>
    <w:rsid w:val="33C137F8"/>
    <w:rsid w:val="369A381C"/>
    <w:rsid w:val="36ED7D2B"/>
    <w:rsid w:val="37CF5FD6"/>
    <w:rsid w:val="381216B5"/>
    <w:rsid w:val="38AD19AF"/>
    <w:rsid w:val="39431EEE"/>
    <w:rsid w:val="39F27144"/>
    <w:rsid w:val="3A522D3D"/>
    <w:rsid w:val="3A6D2312"/>
    <w:rsid w:val="3B265F2E"/>
    <w:rsid w:val="3B766568"/>
    <w:rsid w:val="3ED15FEF"/>
    <w:rsid w:val="3EDF266A"/>
    <w:rsid w:val="3F233925"/>
    <w:rsid w:val="3FDD3C4F"/>
    <w:rsid w:val="44BD69EB"/>
    <w:rsid w:val="456055DE"/>
    <w:rsid w:val="45F31C63"/>
    <w:rsid w:val="461343DB"/>
    <w:rsid w:val="4B4134FD"/>
    <w:rsid w:val="4B543446"/>
    <w:rsid w:val="4E4364C2"/>
    <w:rsid w:val="50EA418D"/>
    <w:rsid w:val="510C0237"/>
    <w:rsid w:val="521E7BC5"/>
    <w:rsid w:val="52793D86"/>
    <w:rsid w:val="536C7C6B"/>
    <w:rsid w:val="53A662DF"/>
    <w:rsid w:val="53AD3873"/>
    <w:rsid w:val="53CF538E"/>
    <w:rsid w:val="557B2A48"/>
    <w:rsid w:val="55DB0099"/>
    <w:rsid w:val="57F01B04"/>
    <w:rsid w:val="596C1A28"/>
    <w:rsid w:val="59E7637A"/>
    <w:rsid w:val="59EE1099"/>
    <w:rsid w:val="5CF95551"/>
    <w:rsid w:val="5D9615A2"/>
    <w:rsid w:val="61863437"/>
    <w:rsid w:val="61E21505"/>
    <w:rsid w:val="624D40D3"/>
    <w:rsid w:val="62E354DE"/>
    <w:rsid w:val="632528C9"/>
    <w:rsid w:val="642D34F2"/>
    <w:rsid w:val="64592EAE"/>
    <w:rsid w:val="65326415"/>
    <w:rsid w:val="65605C5F"/>
    <w:rsid w:val="65AE7F5D"/>
    <w:rsid w:val="65FB0E53"/>
    <w:rsid w:val="66452A5A"/>
    <w:rsid w:val="678149E0"/>
    <w:rsid w:val="68BE0B64"/>
    <w:rsid w:val="68D47E6F"/>
    <w:rsid w:val="692244D0"/>
    <w:rsid w:val="6968585F"/>
    <w:rsid w:val="6A19339F"/>
    <w:rsid w:val="6BCE176C"/>
    <w:rsid w:val="6D07449C"/>
    <w:rsid w:val="6D8365BD"/>
    <w:rsid w:val="6E2A4350"/>
    <w:rsid w:val="6E3E1339"/>
    <w:rsid w:val="6EC32276"/>
    <w:rsid w:val="6F0F1346"/>
    <w:rsid w:val="6F57027E"/>
    <w:rsid w:val="6F7810F5"/>
    <w:rsid w:val="71313AC1"/>
    <w:rsid w:val="72DB7A02"/>
    <w:rsid w:val="72DE08AE"/>
    <w:rsid w:val="72EE6ECA"/>
    <w:rsid w:val="73A51C06"/>
    <w:rsid w:val="752B4467"/>
    <w:rsid w:val="772054B7"/>
    <w:rsid w:val="77B64349"/>
    <w:rsid w:val="78404F59"/>
    <w:rsid w:val="78D0113A"/>
    <w:rsid w:val="79120DC0"/>
    <w:rsid w:val="7B086666"/>
    <w:rsid w:val="7B870239"/>
    <w:rsid w:val="7C007CD6"/>
    <w:rsid w:val="7C6C3669"/>
    <w:rsid w:val="7CFB2380"/>
    <w:rsid w:val="7DC1685E"/>
    <w:rsid w:val="7E4839B7"/>
    <w:rsid w:val="7E9D64A0"/>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2249</Words>
  <Characters>2680</Characters>
  <Lines>0</Lines>
  <Paragraphs>0</Paragraphs>
  <TotalTime>1</TotalTime>
  <ScaleCrop>false</ScaleCrop>
  <LinksUpToDate>false</LinksUpToDate>
  <CharactersWithSpaces>2728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dc:description>自动生成：2026年6月11日至6月17日公开新闻汇总</dc:description>
  <cp:lastModifiedBy>朕已阅</cp:lastModifiedBy>
  <cp:lastPrinted>2021-09-23T03:57:00Z</cp:lastPrinted>
  <dcterms:modified xsi:type="dcterms:W3CDTF">2026-06-18T03:29:01Z</dcterms:modified>
  <dc:subject>CPCA每周资讯第140期</dc:subject>
  <dc:title>CPCA140期每周资讯热点报告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2052-12.1.0.26895</vt:lpwstr>
  </property>
  <property fmtid="{D5CDD505-2E9C-101B-9397-08002B2CF9AE}" pid="4" name="ICV">
    <vt:lpwstr>59D16257815540F582375784C9FEACA7_13</vt:lpwstr>
  </property>
</Properties>
</file>