
<file path=[Content_Types].xml><?xml version="1.0" encoding="utf-8"?>
<Types xmlns="http://schemas.openxmlformats.org/package/2006/content-types">
  <Default Extension="wmf" ContentType="image/x-wmf"/>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E361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华文楷体" w:hAnsi="华文楷体" w:eastAsia="华文楷体" w:cs="华文楷体"/>
          <w:b/>
          <w:bCs/>
          <w:snapToGrid w:val="0"/>
          <w:color w:val="548235" w:themeColor="accent6" w:themeShade="BF"/>
          <w:kern w:val="0"/>
          <w:sz w:val="28"/>
          <w:szCs w:val="28"/>
          <w:lang w:val="en-US" w:eastAsia="zh-CN" w:bidi="ar"/>
        </w:rPr>
      </w:pPr>
    </w:p>
    <w:p w14:paraId="287E5B2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仿宋" w:cs="Times New Roman"/>
          <w:color w:val="04AC5C"/>
          <w:sz w:val="32"/>
          <w:szCs w:val="24"/>
          <w:lang w:val="en-US"/>
        </w:rPr>
      </w:pPr>
      <w:r>
        <w:rPr>
          <w:rFonts w:hint="eastAsia" w:ascii="华文楷体" w:hAnsi="华文楷体" w:eastAsia="华文楷体" w:cs="华文楷体"/>
          <w:b/>
          <w:bCs/>
          <w:snapToGrid w:val="0"/>
          <w:color w:val="04AC5C"/>
          <w:kern w:val="0"/>
          <w:sz w:val="28"/>
          <w:szCs w:val="28"/>
          <w:lang w:val="en-US" w:eastAsia="zh-CN" w:bidi="ar"/>
        </w:rPr>
        <w:t>第142期</w:t>
      </w:r>
    </w:p>
    <w:p w14:paraId="62D56D6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hAnsi="Times New Roman" w:eastAsia="仿宋" w:cs="Times New Roman"/>
          <w:color w:val="04AC5C"/>
          <w:sz w:val="21"/>
          <w:szCs w:val="24"/>
          <w:lang w:val="en-US"/>
        </w:rPr>
      </w:pPr>
      <w:r>
        <w:rPr>
          <w:rFonts w:ascii="华文楷体" w:hAnsi="华文楷体" w:eastAsia="华文楷体" w:cs="华文楷体"/>
          <w:b/>
          <w:bCs/>
          <w:snapToGrid w:val="0"/>
          <w:color w:val="04AC5C"/>
          <w:kern w:val="0"/>
          <w:sz w:val="28"/>
          <w:szCs w:val="28"/>
          <w:u w:val="single" w:color="auto"/>
          <w:lang w:val="en-US" w:eastAsia="zh-CN" w:bidi="ar"/>
        </w:rPr>
        <w:t>信息部                                            2026年7月</w:t>
      </w:r>
    </w:p>
    <w:p w14:paraId="59B0599D">
      <w:pPr>
        <w:keepNext/>
        <w:keepLines/>
        <w:widowControl w:val="0"/>
        <w:numPr>
          <w:ilvl w:val="0"/>
          <w:numId w:val="0"/>
        </w:numPr>
        <w:bidi w:val="0"/>
        <w:spacing w:before="260" w:beforeLines="0" w:beforeAutospacing="0" w:after="260" w:afterLines="0" w:afterAutospacing="0" w:line="413" w:lineRule="auto"/>
        <w:jc w:val="left"/>
        <w:outlineLvl w:val="1"/>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每周资讯|央行启用隔夜逆回购并开展万亿元买断式逆回购；国务院常务会议部署AI建设；礼鼎半导体向港交所提交上市申请..</w:t>
      </w:r>
    </w:p>
    <w:p w14:paraId="03F497D5">
      <w:pPr>
        <w:keepNext/>
        <w:keepLines/>
        <w:widowControl w:val="0"/>
        <w:numPr>
          <w:ilvl w:val="0"/>
          <w:numId w:val="1"/>
        </w:numPr>
        <w:bidi w:val="0"/>
        <w:spacing w:before="260" w:beforeLines="0" w:beforeAutospacing="0" w:after="260" w:afterLines="0" w:afterAutospacing="0" w:line="413" w:lineRule="auto"/>
        <w:jc w:val="left"/>
        <w:outlineLvl w:val="1"/>
        <w:rPr>
          <w:rFonts w:hint="eastAsia" w:ascii="Times New Roman" w:hAnsi="Times New Roman" w:eastAsia="仿宋" w:cs="Times New Roman"/>
          <w:sz w:val="32"/>
          <w:szCs w:val="24"/>
          <w:highlight w:val="none"/>
          <w:lang w:val="en-US" w:eastAsia="zh-CN"/>
        </w:rPr>
      </w:pPr>
      <w:r>
        <w:rPr>
          <w:rFonts w:hint="eastAsia" w:ascii="Arial" w:hAnsi="Arial" w:eastAsia="黑体" w:cs="Times New Roman"/>
          <w:b/>
          <w:kern w:val="2"/>
          <w:sz w:val="32"/>
          <w:szCs w:val="24"/>
          <w:lang w:val="en-US" w:eastAsia="zh-CN" w:bidi="ar-SA"/>
        </w:rPr>
        <w:t>行业</w:t>
      </w:r>
    </w:p>
    <w:p w14:paraId="39787E5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央行新增隔夜逆回购并开展万亿元买断式逆回购，保持流动性合理充裕</w:t>
      </w:r>
    </w:p>
    <w:p w14:paraId="1E95CF83">
      <w:pPr>
        <w:spacing w:line="360" w:lineRule="auto"/>
        <w:ind w:firstLine="640" w:firstLineChars="200"/>
        <w:jc w:val="left"/>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6月29日，中国人民银行首次在公开市场操作中启用隔夜逆回购操作品种，当日开展3000亿元隔夜逆回购和1575亿元7天期逆回购；6月30日，央行继续开展6000亿元隔夜逆回购和695亿元7天期逆回购，进一步丰富短端流动性管理工具。7月6日，央行开展1万亿元3个月期买断式逆回购操作，在该期限品种当月有8000亿元到期背景下实现加量续作，结束此前连续3个月缩量进程。业内人士认为，隔夜逆回购与买断式逆回购配合使用，有助于精准平抑跨季及政府债发行带来的资金波动，维持市场流动性合理充裕，对电子信息制造、高端扩产及先进制造投资形成稳定金融环境。（中国人民银行）</w:t>
      </w:r>
    </w:p>
    <w:p w14:paraId="3A30106E">
      <w:pPr>
        <w:spacing w:line="360" w:lineRule="auto"/>
        <w:jc w:val="left"/>
        <w:rPr>
          <w:rFonts w:hint="eastAsia" w:ascii="Times New Roman" w:hAnsi="Times New Roman" w:eastAsia="仿宋" w:cs="Times New Roman"/>
          <w:sz w:val="32"/>
          <w:szCs w:val="24"/>
          <w:lang w:val="en-US" w:eastAsia="zh-CN"/>
        </w:rPr>
      </w:pPr>
    </w:p>
    <w:p w14:paraId="0EB3092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国务院常务会议部署人工智能发展，加快超大规模智算集群建设</w:t>
      </w:r>
    </w:p>
    <w:p w14:paraId="07841AAF">
      <w:pPr>
        <w:spacing w:line="360" w:lineRule="auto"/>
        <w:ind w:firstLine="640" w:firstLineChars="200"/>
        <w:jc w:val="left"/>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6月29日，国务院总理李强主持召开国务院常务会议，听取人工智能发展情况汇报，研究当前外贸形势和贸易强国建设有关工作，并审议通过《“十五五”碳达峰行动方案》等文件。会议指出，要深刻把握人工智能演进趋势，完善支持政策和治理体系，加力推进人工智能创新突破，加快关键技术攻关和超大规模智算集群建设，强化高质量数据供给，加强人才、资金等要素保障，支持企业开展基础研究和前沿探索。会议要求深入实施“人工智能+”行动，发挥我国产业体系完备、应用场景丰富等优势，促进智能产品和服务加快规模化商业应用。智算集群与AI终端加速落地将持续拉动AI服务器、交换机、光模块及配套高端PCB、IC载板和高速覆铜板需求。（新华社）</w:t>
      </w:r>
    </w:p>
    <w:p w14:paraId="445F0B5B">
      <w:pPr>
        <w:spacing w:line="360" w:lineRule="auto"/>
        <w:ind w:firstLine="640" w:firstLineChars="200"/>
        <w:jc w:val="left"/>
        <w:rPr>
          <w:rFonts w:hint="eastAsia" w:ascii="Times New Roman" w:hAnsi="Times New Roman" w:eastAsia="仿宋" w:cs="Times New Roman"/>
          <w:sz w:val="32"/>
          <w:szCs w:val="24"/>
          <w:lang w:val="en-US" w:eastAsia="zh-CN"/>
        </w:rPr>
      </w:pPr>
    </w:p>
    <w:p w14:paraId="24BC51B9">
      <w:pPr>
        <w:spacing w:line="240" w:lineRule="auto"/>
        <w:ind w:left="0" w:leftChars="0" w:firstLine="0" w:firstLineChars="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工信部：前5个月规模以上电子信息制造业增加值同比增长14.6%</w:t>
      </w:r>
    </w:p>
    <w:p w14:paraId="43D5ECBE">
      <w:pPr>
        <w:spacing w:line="240" w:lineRule="auto"/>
        <w:ind w:left="0" w:leftChars="0"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7月5日，人民日报海外版援引工业和信息化部数据报道，2026年前5个月，我国规模以上电子信息制造业增加值同比增长14.6%，增速分别比同期工业、高技术制造业高9.2和1.5个百分点。主要产品中，智能手机产量4.77亿台，同比增长3.3%；集成电路产量2286亿块，同比增长25.4%。1—5月，规模以上电子信息制造业累计实现出口交货值同比增长6.1%，其中5月出口交货值同比增长9.9%；前5个月行业实现营业收入7.52万亿元，同比增长17.1%，实现利润总额4220亿元，同比增长1.04倍；固定资产投资同比增长6.7%，较1—4月提高1.3个百分点。电子信息制造业生产、出口、效益和投资同步改善，为PCB、电子材料和设备环节提供需求支撑。（工信部）</w:t>
      </w:r>
    </w:p>
    <w:p w14:paraId="699A251B">
      <w:pPr>
        <w:spacing w:line="360" w:lineRule="auto"/>
        <w:ind w:firstLine="640" w:firstLineChars="200"/>
        <w:jc w:val="left"/>
        <w:rPr>
          <w:rFonts w:hint="eastAsia" w:ascii="Times New Roman" w:hAnsi="Times New Roman" w:eastAsia="仿宋" w:cs="Times New Roman"/>
          <w:sz w:val="32"/>
          <w:szCs w:val="24"/>
          <w:lang w:val="en-US" w:eastAsia="zh-CN"/>
        </w:rPr>
      </w:pPr>
    </w:p>
    <w:p w14:paraId="156C9588">
      <w:pPr>
        <w:keepNext/>
        <w:keepLines/>
        <w:widowControl w:val="0"/>
        <w:numPr>
          <w:ilvl w:val="0"/>
          <w:numId w:val="1"/>
        </w:numPr>
        <w:bidi w:val="0"/>
        <w:spacing w:before="260" w:beforeLines="0" w:beforeAutospacing="0" w:after="260" w:afterLines="0" w:afterAutospacing="0" w:line="413" w:lineRule="auto"/>
        <w:ind w:left="0" w:leftChars="0" w:firstLine="0" w:firstLineChars="0"/>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市场</w:t>
      </w:r>
    </w:p>
    <w:p w14:paraId="2C521472">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2026年1至5月份我国机器人规上企业营业收入突破900亿元，同比增长26.9%</w:t>
      </w:r>
    </w:p>
    <w:p w14:paraId="43A9EA19">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7月6日，2026世界机器人大会新闻发布会召开。工信部装备工业一司副司长郝立顺介绍，今年1至5月，我国机器人规模以上企业营业收入突破900亿元，同比增长26.9%，近五年年均增速超20%，较“十三五”时期年均增速提升约5个百分点。当前，人形机器人逐步从展示性演示转向实用性落地，产业商业化进程持续提速。（证券之星）</w:t>
      </w:r>
    </w:p>
    <w:p w14:paraId="1BA827A9">
      <w:pPr>
        <w:spacing w:line="240" w:lineRule="auto"/>
        <w:ind w:left="0" w:leftChars="0" w:firstLine="640" w:firstLineChars="200"/>
        <w:jc w:val="left"/>
        <w:rPr>
          <w:rFonts w:hint="default" w:ascii="Times New Roman" w:hAnsi="Times New Roman" w:eastAsia="仿宋" w:cs="Times New Roman"/>
          <w:sz w:val="32"/>
          <w:szCs w:val="24"/>
          <w:highlight w:val="none"/>
          <w:lang w:val="en-US" w:eastAsia="zh-CN"/>
        </w:rPr>
      </w:pPr>
    </w:p>
    <w:p w14:paraId="2644C559">
      <w:pPr>
        <w:spacing w:line="240" w:lineRule="auto"/>
        <w:ind w:left="0" w:leftChars="0" w:firstLine="0" w:firstLineChars="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6月新能源车企交付数据放榜，头部品牌与海外市场成为增长主线</w:t>
      </w:r>
    </w:p>
    <w:p w14:paraId="16D8ABEC">
      <w:pPr>
        <w:spacing w:line="240" w:lineRule="auto"/>
        <w:ind w:left="0" w:leftChars="0"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7月1日，多家新能源汽车企业陆续公布6月交付或销量数据。比亚迪6月新能源汽车销量403472辆，同比增长5.46%，其中海外销售新能源汽车175349辆，创历史单月新高；零跑汽车6月全球交付93376台，同比增长95%，再创月度新高，上半年累计交付356487台；蔚来6月交付40597台，同比增长62.9%；小鹏汽车6月交付40126辆，二季度累计交付103295辆；鸿蒙智行6月交付50624辆。机构认为，新能源汽车市场在渗透率高位背景下进入结构性分化阶段，海外扩张、智能座舱、域控制器、车载显示和高压电控将继续带动车载PCB、厚铜板、HDI及柔性线路板需求。（界面新闻）</w:t>
      </w:r>
    </w:p>
    <w:p w14:paraId="4E914E51">
      <w:pPr>
        <w:spacing w:line="240" w:lineRule="auto"/>
        <w:ind w:left="0" w:leftChars="0" w:firstLine="640" w:firstLineChars="200"/>
        <w:jc w:val="left"/>
        <w:rPr>
          <w:rFonts w:hint="eastAsia" w:ascii="Times New Roman" w:hAnsi="Times New Roman" w:eastAsia="仿宋" w:cs="Times New Roman"/>
          <w:sz w:val="32"/>
          <w:szCs w:val="24"/>
          <w:highlight w:val="none"/>
          <w:lang w:val="en-US" w:eastAsia="zh-CN"/>
        </w:rPr>
      </w:pPr>
    </w:p>
    <w:p w14:paraId="5AD92B3D">
      <w:pPr>
        <w:spacing w:line="360" w:lineRule="auto"/>
        <w:ind w:firstLine="643" w:firstLineChars="20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优必选消费级人形机器人订单破万，机器人终端从示范走向商业化</w:t>
      </w:r>
    </w:p>
    <w:p w14:paraId="4804EA49">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7月1日，据科创板日报等报道，优必选在2026年度全球发布会上推出消费级人形机器人品牌“优世界”及U1系列产品，U1 Lite、U1 Pro和U1 Ultra覆盖11.98万元至99万元价格带，线上线下订单已突破1.3万台，并计划于9月16日开启交付。优必选方面表示，U1系列全渠道订单量已达13361台，订单规模为公司2025年全年B端人形机器人总销量的十倍。与此同时，摩根士丹利此前将2026年中国人形机器人出货量预测上调至5万台。人形机器人从工业示范向家庭陪伴、商业服务等场景扩展，将拉动关节模组控制板、传感器、柔性电路、摄像头模组及高可靠连接器用PCB需求。（科创板日报）</w:t>
      </w:r>
    </w:p>
    <w:p w14:paraId="511F491A">
      <w:pPr>
        <w:spacing w:line="240" w:lineRule="auto"/>
        <w:ind w:left="0" w:leftChars="0" w:firstLine="640" w:firstLineChars="200"/>
        <w:jc w:val="left"/>
        <w:rPr>
          <w:rFonts w:hint="eastAsia" w:ascii="Times New Roman" w:hAnsi="Times New Roman" w:eastAsia="仿宋" w:cs="Times New Roman"/>
          <w:sz w:val="32"/>
          <w:szCs w:val="24"/>
          <w:highlight w:val="none"/>
          <w:lang w:val="en-US" w:eastAsia="zh-CN"/>
        </w:rPr>
      </w:pPr>
    </w:p>
    <w:p w14:paraId="4D02DBEA">
      <w:pPr>
        <w:keepNext/>
        <w:keepLines/>
        <w:widowControl w:val="0"/>
        <w:numPr>
          <w:ilvl w:val="0"/>
          <w:numId w:val="1"/>
        </w:numPr>
        <w:bidi w:val="0"/>
        <w:spacing w:before="260" w:beforeLines="0" w:beforeAutospacing="0" w:after="260" w:afterLines="0" w:afterAutospacing="0" w:line="413" w:lineRule="auto"/>
        <w:ind w:left="0" w:leftChars="0" w:firstLine="0" w:firstLineChars="0"/>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企业</w:t>
      </w:r>
    </w:p>
    <w:p w14:paraId="5213A509">
      <w:pPr>
        <w:spacing w:line="360" w:lineRule="auto"/>
        <w:jc w:val="center"/>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礼鼎半导体向港交所提交上市申请，拟登陆香港主板</w:t>
      </w:r>
    </w:p>
    <w:p w14:paraId="2745B72E">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7月2日，港交所官网显示，礼鼎半导体科技（深圳）股份有限公司向港交所主板提交上市申请，中信证券担任独家保荐人。招股书显示，礼鼎半导体是一家以智能制造赋能的IC载板供应商，专注于FCBGA、FCCSP、WBCSP及模组载板的研发、制造及销售；按2025年收入计，公司在中国内地IC载板制造商中排名第三，在FCBGA及FCCSP载板的中国内地制造商中亦排名第三。公司IC载板应用覆盖智能装置、AI及HPC、存储、汽车及机器人、网络通信等领域。上市前，臻鼎通过全资主体及鹏鼎控股合计持股60.75%，为控股股东。此次递表显示高端IC载板企业继续借助资本市场推进AI和HPC相关产能与技术升级。（同花顺财经）</w:t>
      </w:r>
    </w:p>
    <w:p w14:paraId="2506E90D">
      <w:pPr>
        <w:keepNext/>
        <w:keepLines/>
        <w:widowControl w:val="0"/>
        <w:numPr>
          <w:ilvl w:val="0"/>
          <w:numId w:val="0"/>
        </w:numPr>
        <w:bidi w:val="0"/>
        <w:spacing w:before="260" w:beforeLines="0" w:beforeAutospacing="0" w:after="260" w:afterLines="0" w:afterAutospacing="0" w:line="413" w:lineRule="auto"/>
        <w:ind w:leftChars="0"/>
        <w:jc w:val="left"/>
        <w:outlineLvl w:val="1"/>
        <w:rPr>
          <w:rFonts w:hint="eastAsia" w:ascii="Arial" w:hAnsi="Arial" w:eastAsia="黑体" w:cs="Times New Roman"/>
          <w:b/>
          <w:kern w:val="2"/>
          <w:sz w:val="32"/>
          <w:szCs w:val="24"/>
          <w:lang w:val="en-US" w:eastAsia="zh-CN" w:bidi="ar-SA"/>
        </w:rPr>
      </w:pPr>
    </w:p>
    <w:p w14:paraId="7BBFDE17">
      <w:pPr>
        <w:spacing w:line="360" w:lineRule="auto"/>
        <w:jc w:val="center"/>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德福科技拟定增募资不超过28亿元投建AI高端电子电路铜箔项目</w:t>
      </w:r>
    </w:p>
    <w:p w14:paraId="03F24179">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7月6日，德福科技发布公告称，公司拟向特定对象发行A股股票，募集资金总额不超过28亿元，扣除发行费用后用于“5万吨人工智能高端电子电路AI铜箔项目”及补充流动资金。其中，AI铜箔项目投资总额22.5亿元，拟投入募集资金19.8亿元，由全资子公司琥珀新材实施，达产后将实现年产5万吨高端电子电路铜箔产能。公告显示，项目产品包括FPC用铜箔、RTF、HVLP、载体铜箔等，主要应用于AI服务器、高速交换机、光模块等领域。本次发行尚需经公司股东会审议通过、深交所审核通过及中国证监会同意注册。AI算力相关PCB向低损耗、高速化升级，正在带动HVLP等高端电子铜箔需求扩容。（证券时报）</w:t>
      </w:r>
    </w:p>
    <w:p w14:paraId="62A5C3F7">
      <w:pPr>
        <w:spacing w:line="360" w:lineRule="auto"/>
        <w:jc w:val="left"/>
        <w:rPr>
          <w:rFonts w:hint="eastAsia" w:ascii="Times New Roman" w:hAnsi="Times New Roman" w:eastAsia="仿宋" w:cs="Times New Roman"/>
          <w:sz w:val="32"/>
          <w:szCs w:val="24"/>
          <w:highlight w:val="none"/>
          <w:lang w:val="en-US" w:eastAsia="zh-CN"/>
        </w:rPr>
      </w:pPr>
    </w:p>
    <w:p w14:paraId="3D7A82BE">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南亚新材拟7.9亿元投建年产1400万平方米高端覆铜板项目</w:t>
      </w:r>
    </w:p>
    <w:p w14:paraId="4C8F5A4E">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6月29日晚间，南亚新材发布公告称，公司全资子公司南亚新材料科技（江西）有限公司拟在江西吉安投资建设年产1400万平方米高端覆铜板研发及产业化项目，项目总投资约7.9亿元，建设周期预计2年。公告显示，项目产品主要面向服务器、汽车安全部件及智能驾驶、AI手机及高端智能终端、智能穿戴等领域，包括中高阶高速材料、高阶HDI材料及中高TG材料等。公司表示，本次项目与此前定增募投项目形成高低搭配、品类互补的协同布局，建成后有助于补齐高端产品产能短板，推动自研新工艺、新产品规模化量产。（新浪财经）</w:t>
      </w:r>
    </w:p>
    <w:p w14:paraId="68B21210">
      <w:pPr>
        <w:spacing w:line="360" w:lineRule="auto"/>
        <w:jc w:val="left"/>
        <w:rPr>
          <w:rFonts w:hint="eastAsia" w:ascii="Times New Roman" w:hAnsi="Times New Roman" w:eastAsia="仿宋" w:cs="Times New Roman"/>
          <w:sz w:val="32"/>
          <w:szCs w:val="24"/>
          <w:highlight w:val="none"/>
          <w:lang w:val="en-US" w:eastAsia="zh-CN"/>
        </w:rPr>
      </w:pPr>
    </w:p>
    <w:p w14:paraId="7CF2C053">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鹏鼎控股拟向台湾及泰国子公司增资约19亿元，加码高端PCB产能</w:t>
      </w:r>
    </w:p>
    <w:p w14:paraId="1961B372">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6月30日，鹏鼎控股连发两份增资公告，拟通过全资平台鹏鼎国际分别向中国台湾子公司鹏鼎科技及泰国生产平台泰国鹏鼎实施增资，折合人民币合计约19亿元。公告显示，鹏鼎科技增资资金主要用于日常经营周转，泰国鹏鼎增资资金将用于厂房建设、设备采购与高阶PCB产能落地。泰国鹏鼎为公司东南亚核心制造基地，2023年9月落地，仍处于投产培育期；本次增资完成后，公司将进一步完善中国台湾运营中枢和东南亚高端制造基地布局，匹配AI服务器、高阶HDI、SLP等高端电路板长期需求。（21财经）</w:t>
      </w:r>
    </w:p>
    <w:p w14:paraId="161761F8">
      <w:pPr>
        <w:spacing w:line="360" w:lineRule="auto"/>
        <w:ind w:firstLine="640" w:firstLineChars="200"/>
        <w:jc w:val="left"/>
        <w:rPr>
          <w:rFonts w:hint="eastAsia" w:ascii="Times New Roman" w:hAnsi="Times New Roman" w:eastAsia="仿宋" w:cs="Times New Roman"/>
          <w:sz w:val="32"/>
          <w:szCs w:val="24"/>
          <w:highlight w:val="none"/>
          <w:lang w:val="en-US" w:eastAsia="zh-CN"/>
        </w:rPr>
      </w:pPr>
    </w:p>
    <w:p w14:paraId="01CB4597">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沪电股份43亿元AI高端PCB项目预计下半年试产</w:t>
      </w:r>
    </w:p>
    <w:p w14:paraId="2CE32163">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6月29日，沪电股份发布投资者关系活动记录表，披露公司2024年第四季度规划投资约43亿元的新建人工智能芯片配套高端印制电路板扩产项目正有序推进，预期将在2026年下半年开始试产并逐步提升产能。公司表示，该项目将进一步扩大高端产品产能，更好满足高速运算服务器、人工智能等新兴计算场景对高端印制电路板的中长期需求。同期，公司于6月完成昆山普江仓储设施有限公司100%股权收购，拟将相关厂房用于产能扩建，以快速补充生产载体、缩短产能落地周期。针对高端材料供应瓶颈，公司已提前参与新一代高端基材电性能验证和可靠性测试，并推进关键物料战略安全库存与多元化认证。（沪电股份公司公告）</w:t>
      </w:r>
    </w:p>
    <w:p w14:paraId="1CBF58D8">
      <w:pPr>
        <w:spacing w:line="360" w:lineRule="auto"/>
        <w:ind w:firstLine="640" w:firstLineChars="200"/>
        <w:jc w:val="left"/>
        <w:rPr>
          <w:rFonts w:hint="eastAsia" w:ascii="Times New Roman" w:hAnsi="Times New Roman" w:eastAsia="仿宋" w:cs="Times New Roman"/>
          <w:sz w:val="32"/>
          <w:szCs w:val="24"/>
          <w:highlight w:val="none"/>
          <w:lang w:val="en-US" w:eastAsia="zh-CN"/>
        </w:rPr>
      </w:pPr>
    </w:p>
    <w:p w14:paraId="7E5D4754">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四方达拟定增募资20亿元投建金刚石钻针产业化项目</w:t>
      </w:r>
    </w:p>
    <w:p w14:paraId="5782AC31">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6月30日晚间，四方达发布2026年度向特定对象发行A股股票预案，拟募集资金总额不超过20亿元，扣除发行费用后用于金刚石钻针产业化项目和补充流动资金。公告显示，金刚石钻针是PCB、半导体封装基板等微孔加工环节的关键耗材，主要应用于高端PCB、IC载板、精密电子器件等领域。行业媒体指出，AI服务器、半导体、智能驾驶等高成长赛道正拉动高端PCB及封装基板微孔加工需求，钻针国产化和高端化有望成为上游耗材的重要扩产方向。（证券时报）</w:t>
      </w:r>
    </w:p>
    <w:p w14:paraId="407368CE">
      <w:pPr>
        <w:spacing w:line="360" w:lineRule="auto"/>
        <w:ind w:firstLine="640" w:firstLineChars="200"/>
        <w:jc w:val="left"/>
        <w:rPr>
          <w:rFonts w:hint="eastAsia" w:ascii="Times New Roman" w:hAnsi="Times New Roman" w:eastAsia="仿宋" w:cs="Times New Roman"/>
          <w:sz w:val="32"/>
          <w:szCs w:val="24"/>
          <w:highlight w:val="none"/>
          <w:lang w:val="en-US" w:eastAsia="zh-CN"/>
        </w:rPr>
      </w:pPr>
    </w:p>
    <w:p w14:paraId="4F961920">
      <w:pPr>
        <w:spacing w:line="360" w:lineRule="auto"/>
        <w:jc w:val="right"/>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更多精彩内容请扫描下方二维码，关注CPCA服务号</w:t>
      </w:r>
    </w:p>
    <w:p w14:paraId="34918E87">
      <w:pPr>
        <w:spacing w:line="360" w:lineRule="auto"/>
        <w:ind w:firstLine="640" w:firstLineChars="200"/>
        <w:jc w:val="right"/>
        <w:rPr>
          <w:rFonts w:hint="eastAsia" w:ascii="华文仿宋" w:hAnsi="华文仿宋" w:eastAsia="华文仿宋" w:cs="华文仿宋"/>
          <w:color w:val="000000"/>
          <w:kern w:val="0"/>
          <w:sz w:val="28"/>
          <w:szCs w:val="28"/>
          <w:lang w:val="en-US" w:eastAsia="zh-CN" w:bidi="ar"/>
        </w:rPr>
      </w:pPr>
      <w:r>
        <w:rPr>
          <w:rFonts w:hint="eastAsia" w:ascii="Times New Roman" w:hAnsi="Times New Roman" w:eastAsia="仿宋" w:cs="Times New Roman"/>
          <w:sz w:val="32"/>
          <w:szCs w:val="24"/>
          <w:highlight w:val="none"/>
          <w:lang w:val="en-US" w:eastAsia="zh-CN"/>
        </w:rPr>
        <w:t>撰稿人：张国旗</w:t>
      </w:r>
    </w:p>
    <w:p w14:paraId="2387C8E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044B3D61">
      <w:pPr>
        <w:widowControl w:val="0"/>
        <w:bidi w:val="0"/>
        <w:spacing w:line="240" w:lineRule="auto"/>
        <w:ind w:left="0" w:leftChars="0" w:firstLine="0" w:firstLineChars="0"/>
        <w:jc w:val="right"/>
        <w:rPr>
          <w:rFonts w:hint="default" w:ascii="Times New Roman" w:hAnsi="Times New Roman" w:eastAsia="仿宋" w:cs="Times New Roman"/>
          <w:sz w:val="32"/>
          <w:szCs w:val="24"/>
          <w:lang w:val="en-US" w:eastAsia="zh-CN"/>
        </w:rPr>
      </w:pPr>
      <w:bookmarkStart w:id="0" w:name="_GoBack"/>
      <w:bookmarkEnd w:id="0"/>
      <w:r>
        <w:rPr>
          <w:rFonts w:ascii="Times New Roman" w:hAnsi="Times New Roman" w:eastAsia="仿宋" w:cs="Times New Roman"/>
          <w:sz w:val="32"/>
          <w:szCs w:val="24"/>
        </w:rP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5"/>
                    <a:stretch>
                      <a:fillRect/>
                    </a:stretch>
                  </pic:blipFill>
                  <pic:spPr>
                    <a:xfrm>
                      <a:off x="0" y="0"/>
                      <a:ext cx="1187450" cy="1168400"/>
                    </a:xfrm>
                    <a:prstGeom prst="rect">
                      <a:avLst/>
                    </a:prstGeom>
                    <a:noFill/>
                    <a:ln>
                      <a:noFill/>
                    </a:ln>
                  </pic:spPr>
                </pic:pic>
              </a:graphicData>
            </a:graphic>
          </wp:inline>
        </w:drawing>
      </w:r>
    </w:p>
    <w:p w14:paraId="077ACD8E">
      <w:r>
        <w:rPr>
          <w:rFonts w:hint="default" w:ascii="Times New Roman" w:hAnsi="Times New Roman" w:eastAsia="仿宋" w:cs="Times New Roman"/>
          <w:kern w:val="0"/>
          <w:sz w:val="24"/>
          <w:szCs w:val="24"/>
          <w:lang w:val="en-US" w:eastAsia="zh-CN" w:bidi="ar"/>
        </w:rPr>
        <w:drawing>
          <wp:inline distT="0" distB="0" distL="114300" distR="114300">
            <wp:extent cx="5273675" cy="3503295"/>
            <wp:effectExtent l="0" t="0" r="9525" b="1905"/>
            <wp:docPr id="2" name="图片 2" descr="467b3544aa10c7b69a0d3f65ce8dd4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67b3544aa10c7b69a0d3f65ce8dd4d2"/>
                    <pic:cNvPicPr>
                      <a:picLocks noChangeAspect="1"/>
                    </pic:cNvPicPr>
                  </pic:nvPicPr>
                  <pic:blipFill>
                    <a:blip r:embed="rId6"/>
                    <a:stretch>
                      <a:fillRect/>
                    </a:stretch>
                  </pic:blipFill>
                  <pic:spPr>
                    <a:xfrm>
                      <a:off x="0" y="0"/>
                      <a:ext cx="5273675" cy="3503295"/>
                    </a:xfrm>
                    <a:prstGeom prst="rect">
                      <a:avLst/>
                    </a:prstGeom>
                  </pic:spPr>
                </pic:pic>
              </a:graphicData>
            </a:graphic>
          </wp:inline>
        </w:drawing>
      </w:r>
    </w:p>
    <w:sectPr>
      <w:headerReference r:id="rId3" w:type="default"/>
      <w:pgSz w:w="11906" w:h="16838"/>
      <w:pgMar w:top="156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F4FE4">
    <w:pPr>
      <w:pStyle w:val="4"/>
      <w:pBdr>
        <w:bottom w:val="none" w:color="auto" w:sz="0" w:space="0"/>
      </w:pBdr>
      <w:jc w:val="both"/>
    </w:pPr>
    <w:r>
      <w:drawing>
        <wp:anchor distT="0" distB="0" distL="114300" distR="114300" simplePos="0" relativeHeight="251659264" behindDoc="1" locked="0" layoutInCell="1" allowOverlap="1">
          <wp:simplePos x="0" y="0"/>
          <wp:positionH relativeFrom="margin">
            <wp:align>center</wp:align>
          </wp:positionH>
          <wp:positionV relativeFrom="paragraph">
            <wp:posOffset>69215</wp:posOffset>
          </wp:positionV>
          <wp:extent cx="6782435" cy="513080"/>
          <wp:effectExtent l="0" t="0" r="0" b="1270"/>
          <wp:wrapTight wrapText="bothSides">
            <wp:wrapPolygon>
              <wp:start x="15713" y="0"/>
              <wp:lineTo x="0" y="0"/>
              <wp:lineTo x="0" y="18446"/>
              <wp:lineTo x="5703" y="20851"/>
              <wp:lineTo x="21477" y="20851"/>
              <wp:lineTo x="21477" y="17644"/>
              <wp:lineTo x="20203" y="13634"/>
              <wp:lineTo x="19232" y="12832"/>
              <wp:lineTo x="21355" y="8822"/>
              <wp:lineTo x="21477" y="4812"/>
              <wp:lineTo x="20809" y="0"/>
              <wp:lineTo x="15713" y="0"/>
            </wp:wrapPolygon>
          </wp:wrapTight>
          <wp:docPr id="1" name="图片 1" descr="C:\Users\Administrator\Desktop\未标题-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未标题-1.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782585" cy="5130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A87"/>
    <w:rsid w:val="00065C06"/>
    <w:rsid w:val="0035113B"/>
    <w:rsid w:val="003A66A4"/>
    <w:rsid w:val="004F2A87"/>
    <w:rsid w:val="006B3D1E"/>
    <w:rsid w:val="007065AE"/>
    <w:rsid w:val="0073199B"/>
    <w:rsid w:val="007456A0"/>
    <w:rsid w:val="008355BB"/>
    <w:rsid w:val="009014D3"/>
    <w:rsid w:val="00C372FC"/>
    <w:rsid w:val="00D65DCA"/>
    <w:rsid w:val="00E70812"/>
    <w:rsid w:val="00F70C01"/>
    <w:rsid w:val="00FF5190"/>
    <w:rsid w:val="045F663E"/>
    <w:rsid w:val="06B47FC9"/>
    <w:rsid w:val="071C1AB9"/>
    <w:rsid w:val="07221569"/>
    <w:rsid w:val="07DD40F6"/>
    <w:rsid w:val="083B7C49"/>
    <w:rsid w:val="0CB1267E"/>
    <w:rsid w:val="0E0A67C5"/>
    <w:rsid w:val="0E73679E"/>
    <w:rsid w:val="0FA436B7"/>
    <w:rsid w:val="0FAD6545"/>
    <w:rsid w:val="0FC0235B"/>
    <w:rsid w:val="10CF4D8A"/>
    <w:rsid w:val="164B0998"/>
    <w:rsid w:val="16E96798"/>
    <w:rsid w:val="1CDA2E0B"/>
    <w:rsid w:val="21A55BAC"/>
    <w:rsid w:val="21A60DC4"/>
    <w:rsid w:val="225C17EC"/>
    <w:rsid w:val="236405A0"/>
    <w:rsid w:val="25AF1BE4"/>
    <w:rsid w:val="25B55B0A"/>
    <w:rsid w:val="25EE16C9"/>
    <w:rsid w:val="264A2919"/>
    <w:rsid w:val="266175BF"/>
    <w:rsid w:val="27003495"/>
    <w:rsid w:val="28C049EA"/>
    <w:rsid w:val="29163431"/>
    <w:rsid w:val="29EF0897"/>
    <w:rsid w:val="2B767FBE"/>
    <w:rsid w:val="2BF15CE7"/>
    <w:rsid w:val="2D364384"/>
    <w:rsid w:val="2DC669A6"/>
    <w:rsid w:val="2E4775E3"/>
    <w:rsid w:val="2EDE3EE6"/>
    <w:rsid w:val="315179C6"/>
    <w:rsid w:val="33274995"/>
    <w:rsid w:val="33A475BE"/>
    <w:rsid w:val="33C137F8"/>
    <w:rsid w:val="369A381C"/>
    <w:rsid w:val="36ED7D2B"/>
    <w:rsid w:val="37CF5FD6"/>
    <w:rsid w:val="381216B5"/>
    <w:rsid w:val="38AD19AF"/>
    <w:rsid w:val="39431EEE"/>
    <w:rsid w:val="39F27144"/>
    <w:rsid w:val="3A522D3D"/>
    <w:rsid w:val="3A6D2312"/>
    <w:rsid w:val="3B265F2E"/>
    <w:rsid w:val="3B766568"/>
    <w:rsid w:val="3ED15FEF"/>
    <w:rsid w:val="3EDF266A"/>
    <w:rsid w:val="3F233925"/>
    <w:rsid w:val="3FDD3C4F"/>
    <w:rsid w:val="40297E1C"/>
    <w:rsid w:val="44BD69EB"/>
    <w:rsid w:val="456055DE"/>
    <w:rsid w:val="45F31C63"/>
    <w:rsid w:val="45FD6761"/>
    <w:rsid w:val="461343DB"/>
    <w:rsid w:val="4ABF4154"/>
    <w:rsid w:val="4B4134FD"/>
    <w:rsid w:val="4B543446"/>
    <w:rsid w:val="4E4364C2"/>
    <w:rsid w:val="50EA418D"/>
    <w:rsid w:val="510C0237"/>
    <w:rsid w:val="521E7BC5"/>
    <w:rsid w:val="52793D86"/>
    <w:rsid w:val="536C7C6B"/>
    <w:rsid w:val="53A662DF"/>
    <w:rsid w:val="53AD3873"/>
    <w:rsid w:val="53CF538E"/>
    <w:rsid w:val="557B2A48"/>
    <w:rsid w:val="55DB0099"/>
    <w:rsid w:val="57F01B04"/>
    <w:rsid w:val="596C1A28"/>
    <w:rsid w:val="59E7637A"/>
    <w:rsid w:val="59EE1099"/>
    <w:rsid w:val="5CF95551"/>
    <w:rsid w:val="5D9615A2"/>
    <w:rsid w:val="61863437"/>
    <w:rsid w:val="61E21505"/>
    <w:rsid w:val="624D40D3"/>
    <w:rsid w:val="62E354DE"/>
    <w:rsid w:val="632528C9"/>
    <w:rsid w:val="642D34F2"/>
    <w:rsid w:val="64592EAE"/>
    <w:rsid w:val="65326415"/>
    <w:rsid w:val="65605C5F"/>
    <w:rsid w:val="65AE7F5D"/>
    <w:rsid w:val="65FB0E53"/>
    <w:rsid w:val="66452A5A"/>
    <w:rsid w:val="678149E0"/>
    <w:rsid w:val="68BE0B64"/>
    <w:rsid w:val="68D47E6F"/>
    <w:rsid w:val="692244D0"/>
    <w:rsid w:val="6968585F"/>
    <w:rsid w:val="6A19339F"/>
    <w:rsid w:val="6BCE176C"/>
    <w:rsid w:val="6D07449C"/>
    <w:rsid w:val="6D8365BD"/>
    <w:rsid w:val="6E2A4350"/>
    <w:rsid w:val="6E3E1339"/>
    <w:rsid w:val="6E6D657F"/>
    <w:rsid w:val="6EC32276"/>
    <w:rsid w:val="6F0F1346"/>
    <w:rsid w:val="6F57027E"/>
    <w:rsid w:val="6F7810F5"/>
    <w:rsid w:val="71313AC1"/>
    <w:rsid w:val="72DB7A02"/>
    <w:rsid w:val="72DE08AE"/>
    <w:rsid w:val="72EE6ECA"/>
    <w:rsid w:val="73A51C06"/>
    <w:rsid w:val="752B4467"/>
    <w:rsid w:val="772054B7"/>
    <w:rsid w:val="77B64349"/>
    <w:rsid w:val="78404F59"/>
    <w:rsid w:val="78D0113A"/>
    <w:rsid w:val="79120DC0"/>
    <w:rsid w:val="7B086666"/>
    <w:rsid w:val="7B870239"/>
    <w:rsid w:val="7C007CD6"/>
    <w:rsid w:val="7C6C3669"/>
    <w:rsid w:val="7CFB2380"/>
    <w:rsid w:val="7DC1685E"/>
    <w:rsid w:val="7E4839B7"/>
    <w:rsid w:val="7E9D64A0"/>
    <w:rsid w:val="7F726CC2"/>
    <w:rsid w:val="7FC73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3624</Words>
  <Characters>4003</Characters>
  <Lines>0</Lines>
  <Paragraphs>0</Paragraphs>
  <TotalTime>33</TotalTime>
  <ScaleCrop>false</ScaleCrop>
  <LinksUpToDate>false</LinksUpToDate>
  <CharactersWithSpaces>4052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2021-09-23T01:41:00Z</dcterms:created>
  <dc:creator>A</dc:creator>
  <cp:keywords>CPCA, PCB, 每周资讯, 第141期</cp:keywords>
  <cp:lastModifiedBy>朕已阅</cp:lastModifiedBy>
  <cp:lastPrinted>2021-09-23T03:57:00Z</cp:lastPrinted>
  <dcterms:modified xsi:type="dcterms:W3CDTF">2026-07-07T02:03:08Z</dcterms:modified>
  <dc:subject>CPCA141期每周资讯热点报告</dc:subject>
  <dc:title>CPCA每周资讯第141期</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eyJoZGlkIjoiZWFlNjQ3NDIwZDEwN2RkZjI5ZmVhOGI2NjVlYTBkMTciLCJ1c2VySWQiOiIxMzgyMTM1ODU2In0=</vt:lpwstr>
  </property>
  <property fmtid="{D5CDD505-2E9C-101B-9397-08002B2CF9AE}" pid="3" name="KSOProductBuildVer">
    <vt:lpwstr>2052-12.1.0.26895</vt:lpwstr>
  </property>
  <property fmtid="{D5CDD505-2E9C-101B-9397-08002B2CF9AE}" pid="4" name="ICV">
    <vt:lpwstr>475234387207408695256EAD167E8E62_13</vt:lpwstr>
  </property>
</Properties>
</file>