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F6A1A">
      <w:pPr>
        <w:spacing w:line="360" w:lineRule="auto"/>
        <w:jc w:val="both"/>
      </w:pPr>
    </w:p>
    <w:p w14:paraId="287E5B2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Times New Roman" w:hAnsi="Times New Roman" w:eastAsia="仿宋" w:cs="Times New Roman"/>
          <w:color w:val="04AC5C"/>
          <w:sz w:val="32"/>
          <w:szCs w:val="24"/>
          <w:lang w:val="en-US"/>
        </w:rPr>
      </w:pPr>
      <w:r>
        <w:rPr>
          <w:rFonts w:hint="eastAsia"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lang w:val="en-US" w:eastAsia="zh-CN" w:bidi="ar"/>
        </w:rPr>
        <w:t>第145期</w:t>
      </w:r>
    </w:p>
    <w:p w14:paraId="62D56D6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Arial" w:hAnsi="Times New Roman" w:eastAsia="仿宋" w:cs="Times New Roman"/>
          <w:color w:val="04AC5C"/>
          <w:sz w:val="21"/>
          <w:szCs w:val="24"/>
          <w:lang w:val="en-US"/>
        </w:rPr>
      </w:pPr>
      <w:r>
        <w:rPr>
          <w:rFonts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u w:val="single" w:color="auto"/>
          <w:lang w:val="en-US" w:eastAsia="zh-CN" w:bidi="ar"/>
        </w:rPr>
        <w:t>信息部                                            2026年7月</w:t>
      </w:r>
    </w:p>
    <w:p w14:paraId="6201E98D">
      <w:pPr>
        <w:spacing w:before="260" w:after="260" w:line="413" w:lineRule="auto"/>
        <w:jc w:val="left"/>
      </w:pPr>
      <w:r>
        <w:rPr>
          <w:rFonts w:ascii="Arial" w:hAnsi="Arial" w:eastAsia="黑体"/>
          <w:b/>
          <w:sz w:val="32"/>
        </w:rPr>
        <w:t>每周资讯|</w:t>
      </w:r>
      <w:r>
        <w:rPr>
          <w:rFonts w:hint="eastAsia" w:ascii="Arial" w:hAnsi="Arial" w:eastAsia="黑体"/>
          <w:b/>
          <w:sz w:val="32"/>
        </w:rPr>
        <w:t>计算机、通信和其他电子设备制造业利润同比增长96.9%</w:t>
      </w:r>
      <w:r>
        <w:rPr>
          <w:rFonts w:ascii="Arial" w:hAnsi="Arial" w:eastAsia="黑体"/>
          <w:b/>
          <w:sz w:val="32"/>
        </w:rPr>
        <w:t>；7月新能源乘用车渗透率预计达64.5%；</w:t>
      </w:r>
      <w:r>
        <w:rPr>
          <w:rFonts w:hint="eastAsia" w:ascii="Arial" w:hAnsi="Arial" w:eastAsia="黑体"/>
          <w:b/>
          <w:sz w:val="32"/>
        </w:rPr>
        <w:t>嘉立创启动深交所主板IPO申购</w:t>
      </w:r>
    </w:p>
    <w:p w14:paraId="68D49C2D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一、</w:t>
      </w:r>
      <w:r>
        <w:rPr>
          <w:rFonts w:ascii="Arial" w:hAnsi="Arial" w:eastAsia="黑体"/>
          <w:b/>
          <w:sz w:val="32"/>
        </w:rPr>
        <w:t>行业</w:t>
      </w:r>
    </w:p>
    <w:p w14:paraId="390C3771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央行开展5000亿元MLF操作，连续第三个月加量续作</w:t>
      </w:r>
    </w:p>
    <w:p w14:paraId="45A10AB3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23日，中国人民银行公告，为保持银行体系流动性充裕，将于7月24日以固定数量、利率招标、多重价位中标方式开展5000亿元中期借贷便利（MLF）操作，期限为1年。该操作有助于补充中期流动性，并支持政府债券发行及实体经济融资需求。（中国人民银行）</w:t>
      </w:r>
    </w:p>
    <w:p w14:paraId="3FEA3A32">
      <w:pPr>
        <w:spacing w:line="360" w:lineRule="auto"/>
      </w:pPr>
    </w:p>
    <w:p w14:paraId="5A9BA4F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国家统计局：上半年规上工业利润增长18.7%，电子行业利润增长96.9%</w:t>
      </w:r>
    </w:p>
    <w:p w14:paraId="18C26075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27日，国家统计局发布数据显示，2026年1—6月份全国规模以上工业企业实现利润总额39479.9亿元，同比增长18.7%；计算机、通信和其他电子设备制造业利润同比增长96.9%。同期规上工业营业收入69.26万亿元，同比增长6.5%，营业收入利润率为5.70%。（国家统计局）</w:t>
      </w:r>
    </w:p>
    <w:p w14:paraId="2A70B842">
      <w:pPr>
        <w:spacing w:line="360" w:lineRule="auto"/>
      </w:pPr>
    </w:p>
    <w:p w14:paraId="57B9524B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商务部：上半年电子及通信设备制造业实际使用外资增长52%</w:t>
      </w:r>
    </w:p>
    <w:p w14:paraId="129C5DD3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23日，商务部介绍，2026年1—6月全国新设外商投资企业31617家，同比增长5.3%；实际使用外资4021.4亿元。分行业看，研发与设计服务、电子及通信设备制造业、计算机及办公设备制造业实际使用外资分别增长82%、52%和29.2%，外资继续向高技术制造与服务环节集聚。（商务部）</w:t>
      </w:r>
    </w:p>
    <w:p w14:paraId="215DB05C">
      <w:pPr>
        <w:spacing w:line="360" w:lineRule="auto"/>
      </w:pPr>
    </w:p>
    <w:p w14:paraId="7BDDE9CA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二、</w:t>
      </w:r>
      <w:r>
        <w:rPr>
          <w:rFonts w:ascii="Arial" w:hAnsi="Arial" w:eastAsia="黑体"/>
          <w:b/>
          <w:sz w:val="32"/>
        </w:rPr>
        <w:t>市场</w:t>
      </w:r>
    </w:p>
    <w:p w14:paraId="19C37485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乘联分会：7月新能源乘用车零售预计98万辆，渗透率约64.5%</w:t>
      </w:r>
    </w:p>
    <w:p w14:paraId="74B44DCA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23日，乘联分会披露预测，7月国内狭义乘用车零售规模预计为152万辆，环比下降5.1%、同比下降16.8%；其中新能源乘用车零售约98万辆，渗透率约64.5%，有望刷新月度纪录。传统淡季下，电动化渗透率仍继续提升。（每日经济新闻）</w:t>
      </w:r>
    </w:p>
    <w:p w14:paraId="5809859B">
      <w:pPr>
        <w:spacing w:line="360" w:lineRule="auto"/>
      </w:pPr>
    </w:p>
    <w:p w14:paraId="1D6538F7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上半年工业机器人出口增长18.6%，AI相关装备出口表现活跃</w:t>
      </w:r>
    </w:p>
    <w:p w14:paraId="47D277E7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28日，商务部在国新办新闻发布会上表示，据海关统计，2026年上半年我国工业机器人、3D打印机等人工智能相关产品出口同比分别增长18.6%和109.3%；电动汽车、锂电池出口分别增长68.7%和37.6%，智能制造装备成为外贸增长的新动能。（新华社）</w:t>
      </w:r>
    </w:p>
    <w:p w14:paraId="4A283F1C">
      <w:pPr>
        <w:spacing w:line="360" w:lineRule="auto"/>
      </w:pPr>
    </w:p>
    <w:p w14:paraId="43017CD1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中国智能手机市场连续五个季度下滑，二季度出货量同比降4.3%</w:t>
      </w:r>
    </w:p>
    <w:p w14:paraId="018CE459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23日，IDC发布季度跟踪数据，2026年第二季度中国智能手机市场出货量约6601万台，同比下降4.3%，已连续五个季度同比下滑。市场继续向高端产品集中，存储成本上升、换机周期延长及需求偏弱加剧品牌分化。（IDC）</w:t>
      </w:r>
    </w:p>
    <w:p w14:paraId="19B44248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三、</w:t>
      </w:r>
      <w:r>
        <w:rPr>
          <w:rFonts w:ascii="Arial" w:hAnsi="Arial" w:eastAsia="黑体"/>
          <w:b/>
          <w:sz w:val="32"/>
        </w:rPr>
        <w:t>企业</w:t>
      </w:r>
    </w:p>
    <w:p w14:paraId="7ADF9A3C">
      <w:pPr>
        <w:spacing w:line="360" w:lineRule="auto"/>
        <w:jc w:val="center"/>
      </w:pPr>
      <w:bookmarkStart w:id="0" w:name="_GoBack"/>
      <w:r>
        <w:rPr>
          <w:rFonts w:ascii="Arial" w:hAnsi="Arial" w:eastAsia="黑体"/>
          <w:b/>
          <w:sz w:val="32"/>
        </w:rPr>
        <w:t>鹏鼎控股拟投资100亿元建设深圳第三园区，布局AI高阶类载板及柔性电路板</w:t>
      </w:r>
    </w:p>
    <w:bookmarkEnd w:id="0"/>
    <w:p w14:paraId="28D45DBF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23日，鹏鼎控股公告，拟投资100亿元新建深圳第三园区，建设人工智能高阶类载板及柔性电路板智造基地，项目计划自2026年7月启动、至2033年建成投产。项目将重点布局AI服务器用高阶类载板、高阶HDI及AI终端用高阶柔性电路板。（鹏鼎控股公告）</w:t>
      </w:r>
    </w:p>
    <w:p w14:paraId="0CEE7168">
      <w:pPr>
        <w:spacing w:line="360" w:lineRule="auto"/>
      </w:pPr>
    </w:p>
    <w:p w14:paraId="3E64DE42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红板科技拟投不超60亿元建设三大高端PCB项目</w:t>
      </w:r>
    </w:p>
    <w:p w14:paraId="081DFE00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23日，红板科技连续披露三项投资计划，拟建设高阶mSAP高端精密电路板产业化项目、高精密HDI电路板产线技术改造与产能扩充项目，以及赣州红板D1栋厂房及辅助设施项目，合计投资不超过60亿元，资金来源为自有及自筹资金。（证券时报）</w:t>
      </w:r>
    </w:p>
    <w:p w14:paraId="13DA255F">
      <w:pPr>
        <w:spacing w:line="360" w:lineRule="auto"/>
      </w:pPr>
    </w:p>
    <w:p w14:paraId="24A1C744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嘉立创启动深交所主板IPO申购，发行5556万股</w:t>
      </w:r>
    </w:p>
    <w:p w14:paraId="0789E298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24日，深圳嘉立创科技集团股份有限公司启动网上、网下申购，证券代码001232，发行价84.46元/股，公开发行5556万股。募集资金拟用于高多层印制线路板、PCBA智能产线、研发中心及信息化升级等项目。（同花顺）</w:t>
      </w:r>
    </w:p>
    <w:p w14:paraId="3FD37DCA">
      <w:pPr>
        <w:spacing w:line="360" w:lineRule="auto"/>
      </w:pPr>
    </w:p>
    <w:p w14:paraId="7C136C0F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生益科技约50亿元AI算力及先进半导体基材项目签约苏州</w:t>
      </w:r>
    </w:p>
    <w:p w14:paraId="77851012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7月24日，苏州生益科技有限公司与苏州工业园区管委会签署项目意向协议，拟投资约50亿元建设AI高性能算力及先进半导体基材研发生产基地，重点推进高性能覆铜板、先进封装基材等产品研发与产业化。（证券时报）</w:t>
      </w:r>
    </w:p>
    <w:p w14:paraId="5DD28BED">
      <w:pPr>
        <w:spacing w:line="360" w:lineRule="auto"/>
      </w:pPr>
    </w:p>
    <w:p w14:paraId="0A7724F0">
      <w:pPr>
        <w:spacing w:line="360" w:lineRule="auto"/>
      </w:pPr>
    </w:p>
    <w:p w14:paraId="594CC1BD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深南电路持续推进AI算力PCB及封装基板产能建设</w:t>
      </w:r>
    </w:p>
    <w:p w14:paraId="15DAEB63">
      <w:pPr>
        <w:spacing w:line="360" w:lineRule="auto"/>
        <w:ind w:firstLine="576"/>
        <w:jc w:val="left"/>
        <w:rPr>
          <w:rFonts w:ascii="Times New Roman" w:hAnsi="Times New Roman" w:eastAsia="仿宋"/>
          <w:sz w:val="32"/>
        </w:rPr>
      </w:pPr>
      <w:r>
        <w:rPr>
          <w:rFonts w:ascii="Times New Roman" w:hAnsi="Times New Roman" w:eastAsia="仿宋"/>
          <w:sz w:val="32"/>
        </w:rPr>
        <w:t>7月24日披露的投资者关系活动记录显示，深南电路2026年资本开支主要投向无锡AI算力电子电路产品项目、广州封装基板工厂、南通四期及泰国工厂。其中无锡项目总投资45.36亿元，主要生产用于AI服务器、交换机的高速高密高多层PCB。（新浪财经）</w:t>
      </w:r>
    </w:p>
    <w:p w14:paraId="7AEED700">
      <w:pPr>
        <w:spacing w:line="360" w:lineRule="auto"/>
        <w:ind w:firstLine="576"/>
        <w:jc w:val="left"/>
        <w:rPr>
          <w:rFonts w:ascii="Times New Roman" w:hAnsi="Times New Roman" w:eastAsia="仿宋"/>
          <w:sz w:val="32"/>
        </w:rPr>
      </w:pPr>
    </w:p>
    <w:p w14:paraId="5B60CC7D">
      <w:pPr>
        <w:spacing w:line="360" w:lineRule="auto"/>
        <w:jc w:val="center"/>
        <w:rPr>
          <w:rFonts w:hint="eastAsia" w:ascii="Arial" w:hAnsi="Arial" w:eastAsia="黑体"/>
          <w:b/>
          <w:sz w:val="32"/>
        </w:rPr>
      </w:pPr>
      <w:r>
        <w:rPr>
          <w:rFonts w:hint="eastAsia" w:ascii="Arial" w:hAnsi="Arial" w:eastAsia="黑体"/>
          <w:b/>
          <w:sz w:val="32"/>
        </w:rPr>
        <w:t>谷歌上调全年资本开支指引，加码AI服务器和数据中心基础设施</w:t>
      </w:r>
    </w:p>
    <w:p w14:paraId="6C42B16F">
      <w:pPr>
        <w:spacing w:line="360" w:lineRule="auto"/>
        <w:ind w:firstLine="576"/>
        <w:jc w:val="left"/>
        <w:rPr>
          <w:rFonts w:hint="eastAsia" w:ascii="Times New Roman" w:hAnsi="Times New Roman" w:eastAsia="仿宋"/>
          <w:sz w:val="32"/>
        </w:rPr>
      </w:pPr>
    </w:p>
    <w:p w14:paraId="4A6060AB">
      <w:pPr>
        <w:spacing w:line="360" w:lineRule="auto"/>
        <w:ind w:firstLine="576"/>
        <w:jc w:val="left"/>
        <w:rPr>
          <w:rFonts w:ascii="Times New Roman" w:hAnsi="Times New Roman" w:eastAsia="仿宋"/>
          <w:sz w:val="32"/>
        </w:rPr>
      </w:pPr>
      <w:r>
        <w:rPr>
          <w:rFonts w:hint="eastAsia" w:ascii="Times New Roman" w:hAnsi="Times New Roman" w:eastAsia="仿宋"/>
          <w:sz w:val="32"/>
        </w:rPr>
        <w:t>7月23日，谷歌母公司Alphabet披露，2026年第二季度资本开支达449.2亿美元，主要用于AI服务器、数据中心及网络基础设施；公司将2026年全年资本开支指引由1800亿—1900亿美元上调至1950亿—2050亿美元。全球云厂商持续扩充AI基础设施，为高多层PCB、高速互连及服务器供应链带来增量需求。（第一财经）</w:t>
      </w:r>
    </w:p>
    <w:p w14:paraId="54E9459A">
      <w:pPr>
        <w:spacing w:line="360" w:lineRule="auto"/>
      </w:pPr>
    </w:p>
    <w:p w14:paraId="5BFEFDA5">
      <w:pPr>
        <w:spacing w:line="360" w:lineRule="auto"/>
        <w:jc w:val="right"/>
      </w:pPr>
      <w:r>
        <w:rPr>
          <w:rFonts w:ascii="Arial" w:hAnsi="Arial" w:eastAsia="黑体"/>
          <w:b/>
          <w:sz w:val="32"/>
        </w:rPr>
        <w:t>更多精彩内容请扫描下方二维码，关注CPCA服务号</w:t>
      </w:r>
    </w:p>
    <w:p w14:paraId="6A4A3C9A">
      <w:pPr>
        <w:spacing w:line="360" w:lineRule="auto"/>
        <w:jc w:val="right"/>
      </w:pPr>
      <w:r>
        <w:rPr>
          <w:rFonts w:ascii="Times New Roman" w:hAnsi="Times New Roman" w:eastAsia="仿宋"/>
          <w:sz w:val="32"/>
        </w:rPr>
        <w:t>撰稿人：张国旗</w:t>
      </w:r>
    </w:p>
    <w:p w14:paraId="5B639555">
      <w:pPr>
        <w:spacing w:line="360" w:lineRule="auto"/>
        <w:jc w:val="right"/>
      </w:pPr>
      <w:r>
        <w:rPr>
          <w:rFonts w:ascii="华文仿宋" w:hAnsi="华文仿宋" w:eastAsia="华文仿宋"/>
          <w:sz w:val="28"/>
        </w:rPr>
        <w:t>审核：张运</w:t>
      </w:r>
    </w:p>
    <w:p w14:paraId="044B3D61">
      <w:pPr>
        <w:widowControl w:val="0"/>
        <w:bidi w:val="0"/>
        <w:spacing w:line="240" w:lineRule="auto"/>
        <w:ind w:left="0" w:leftChars="0" w:firstLine="0" w:firstLineChars="0"/>
        <w:jc w:val="right"/>
        <w:rPr>
          <w:rFonts w:hint="default" w:ascii="Times New Roman" w:hAnsi="Times New Roman" w:eastAsia="仿宋" w:cs="Times New Roman"/>
          <w:sz w:val="32"/>
          <w:szCs w:val="24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24"/>
        </w:rPr>
        <w:drawing>
          <wp:inline distT="0" distB="0" distL="114300" distR="114300">
            <wp:extent cx="1187450" cy="1168400"/>
            <wp:effectExtent l="0" t="0" r="6350" b="0"/>
            <wp:docPr id="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ACD8E">
      <w:r>
        <w:rPr>
          <w:rFonts w:hint="default" w:ascii="Times New Roman" w:hAnsi="Times New Roman" w:eastAsia="仿宋" w:cs="Times New Roma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675" cy="3503295"/>
            <wp:effectExtent l="0" t="0" r="9525" b="1905"/>
            <wp:docPr id="2" name="图片 2" descr="467b3544aa10c7b69a0d3f65ce8dd4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67b3544aa10c7b69a0d3f65ce8dd4d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5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F4FE4">
    <w:pPr>
      <w:pStyle w:val="4"/>
      <w:pBdr>
        <w:bottom w:val="none" w:color="auto" w:sz="0" w:space="0"/>
      </w:pBdr>
      <w:jc w:val="both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69215</wp:posOffset>
          </wp:positionV>
          <wp:extent cx="6782435" cy="513080"/>
          <wp:effectExtent l="0" t="0" r="0" b="1270"/>
          <wp:wrapTight wrapText="bothSides">
            <wp:wrapPolygon>
              <wp:start x="15713" y="0"/>
              <wp:lineTo x="0" y="0"/>
              <wp:lineTo x="0" y="18446"/>
              <wp:lineTo x="5703" y="20851"/>
              <wp:lineTo x="21477" y="20851"/>
              <wp:lineTo x="21477" y="17644"/>
              <wp:lineTo x="20203" y="13634"/>
              <wp:lineTo x="19232" y="12832"/>
              <wp:lineTo x="21355" y="8822"/>
              <wp:lineTo x="21477" y="4812"/>
              <wp:lineTo x="20809" y="0"/>
              <wp:lineTo x="15713" y="0"/>
            </wp:wrapPolygon>
          </wp:wrapTight>
          <wp:docPr id="1" name="图片 1" descr="C:\Users\Administrator\Desktop\未标题-1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未标题-1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2585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87"/>
    <w:rsid w:val="00065C06"/>
    <w:rsid w:val="0035113B"/>
    <w:rsid w:val="003A66A4"/>
    <w:rsid w:val="004F2A87"/>
    <w:rsid w:val="006B3D1E"/>
    <w:rsid w:val="007065AE"/>
    <w:rsid w:val="0073199B"/>
    <w:rsid w:val="007456A0"/>
    <w:rsid w:val="008355BB"/>
    <w:rsid w:val="009014D3"/>
    <w:rsid w:val="00C372FC"/>
    <w:rsid w:val="00D65DCA"/>
    <w:rsid w:val="00E70812"/>
    <w:rsid w:val="00F70C01"/>
    <w:rsid w:val="00FF5190"/>
    <w:rsid w:val="02F76DEB"/>
    <w:rsid w:val="045F663E"/>
    <w:rsid w:val="06B47FC9"/>
    <w:rsid w:val="071C1AB9"/>
    <w:rsid w:val="07221569"/>
    <w:rsid w:val="07DD40F6"/>
    <w:rsid w:val="083B7C49"/>
    <w:rsid w:val="0CB1267E"/>
    <w:rsid w:val="0E0A67C5"/>
    <w:rsid w:val="0E73679E"/>
    <w:rsid w:val="0FA436B7"/>
    <w:rsid w:val="0FAD6545"/>
    <w:rsid w:val="0FC0235B"/>
    <w:rsid w:val="10CF4D8A"/>
    <w:rsid w:val="164B0998"/>
    <w:rsid w:val="16E96798"/>
    <w:rsid w:val="18700773"/>
    <w:rsid w:val="1CDA2E0B"/>
    <w:rsid w:val="21A55BAC"/>
    <w:rsid w:val="21A60DC4"/>
    <w:rsid w:val="225C17EC"/>
    <w:rsid w:val="236405A0"/>
    <w:rsid w:val="25AF1BE4"/>
    <w:rsid w:val="25B55B0A"/>
    <w:rsid w:val="25EE16C9"/>
    <w:rsid w:val="264A2919"/>
    <w:rsid w:val="266175BF"/>
    <w:rsid w:val="27003495"/>
    <w:rsid w:val="28C049EA"/>
    <w:rsid w:val="29163431"/>
    <w:rsid w:val="29C56816"/>
    <w:rsid w:val="29EF0897"/>
    <w:rsid w:val="2B767FBE"/>
    <w:rsid w:val="2BF15CE7"/>
    <w:rsid w:val="2D364384"/>
    <w:rsid w:val="2DC669A6"/>
    <w:rsid w:val="2E4775E3"/>
    <w:rsid w:val="2EDE3EE6"/>
    <w:rsid w:val="315179C6"/>
    <w:rsid w:val="33274995"/>
    <w:rsid w:val="33A475BE"/>
    <w:rsid w:val="33C137F8"/>
    <w:rsid w:val="369A381C"/>
    <w:rsid w:val="36ED7D2B"/>
    <w:rsid w:val="37CF5FD6"/>
    <w:rsid w:val="381216B5"/>
    <w:rsid w:val="38AD19AF"/>
    <w:rsid w:val="39431EEE"/>
    <w:rsid w:val="39F27144"/>
    <w:rsid w:val="3A522D3D"/>
    <w:rsid w:val="3A6D2312"/>
    <w:rsid w:val="3B265F2E"/>
    <w:rsid w:val="3B766568"/>
    <w:rsid w:val="3ED15FEF"/>
    <w:rsid w:val="3EDF266A"/>
    <w:rsid w:val="3F233925"/>
    <w:rsid w:val="3FDD3C4F"/>
    <w:rsid w:val="40297E1C"/>
    <w:rsid w:val="44BD69EB"/>
    <w:rsid w:val="456055DE"/>
    <w:rsid w:val="45F31C63"/>
    <w:rsid w:val="45FD6761"/>
    <w:rsid w:val="461343DB"/>
    <w:rsid w:val="4ABF4154"/>
    <w:rsid w:val="4B4134FD"/>
    <w:rsid w:val="4B543446"/>
    <w:rsid w:val="4E4364C2"/>
    <w:rsid w:val="50EA418D"/>
    <w:rsid w:val="510C0237"/>
    <w:rsid w:val="521E7BC5"/>
    <w:rsid w:val="52762767"/>
    <w:rsid w:val="52793D86"/>
    <w:rsid w:val="536C7C6B"/>
    <w:rsid w:val="53A662DF"/>
    <w:rsid w:val="53AD3873"/>
    <w:rsid w:val="53CF538E"/>
    <w:rsid w:val="557B2A48"/>
    <w:rsid w:val="55DB0099"/>
    <w:rsid w:val="57F01B04"/>
    <w:rsid w:val="596C1A28"/>
    <w:rsid w:val="59E7637A"/>
    <w:rsid w:val="59EE1099"/>
    <w:rsid w:val="5CF95551"/>
    <w:rsid w:val="5D9615A2"/>
    <w:rsid w:val="61863437"/>
    <w:rsid w:val="61A161B8"/>
    <w:rsid w:val="61E21505"/>
    <w:rsid w:val="624D40D3"/>
    <w:rsid w:val="62E354DE"/>
    <w:rsid w:val="632528C9"/>
    <w:rsid w:val="642D34F2"/>
    <w:rsid w:val="64592EAE"/>
    <w:rsid w:val="65326415"/>
    <w:rsid w:val="65605C5F"/>
    <w:rsid w:val="65AE7F5D"/>
    <w:rsid w:val="65FB0E53"/>
    <w:rsid w:val="66452A5A"/>
    <w:rsid w:val="66C33328"/>
    <w:rsid w:val="678149E0"/>
    <w:rsid w:val="68BE0B64"/>
    <w:rsid w:val="68D47E6F"/>
    <w:rsid w:val="692244D0"/>
    <w:rsid w:val="6968585F"/>
    <w:rsid w:val="6A19339F"/>
    <w:rsid w:val="6BCE176C"/>
    <w:rsid w:val="6D07449C"/>
    <w:rsid w:val="6D8365BD"/>
    <w:rsid w:val="6E2A4350"/>
    <w:rsid w:val="6E3E1339"/>
    <w:rsid w:val="6E6D657F"/>
    <w:rsid w:val="6EC32276"/>
    <w:rsid w:val="6F0F1346"/>
    <w:rsid w:val="6F57027E"/>
    <w:rsid w:val="6F7810F5"/>
    <w:rsid w:val="71313AC1"/>
    <w:rsid w:val="72DB7A02"/>
    <w:rsid w:val="72DE08AE"/>
    <w:rsid w:val="72EE6ECA"/>
    <w:rsid w:val="73A51C06"/>
    <w:rsid w:val="752B4467"/>
    <w:rsid w:val="75614B20"/>
    <w:rsid w:val="772054B7"/>
    <w:rsid w:val="77B64349"/>
    <w:rsid w:val="78404F59"/>
    <w:rsid w:val="78D0113A"/>
    <w:rsid w:val="79120DC0"/>
    <w:rsid w:val="7B086666"/>
    <w:rsid w:val="7B870239"/>
    <w:rsid w:val="7C007CD6"/>
    <w:rsid w:val="7C6C3669"/>
    <w:rsid w:val="7CFB2380"/>
    <w:rsid w:val="7DC1685E"/>
    <w:rsid w:val="7E4839B7"/>
    <w:rsid w:val="7E9D64A0"/>
    <w:rsid w:val="7F726CC2"/>
    <w:rsid w:val="7F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2180</Words>
  <Characters>2514</Characters>
  <Lines>0</Lines>
  <Paragraphs>0</Paragraphs>
  <TotalTime>57</TotalTime>
  <ScaleCrop>false</ScaleCrop>
  <LinksUpToDate>false</LinksUpToDate>
  <CharactersWithSpaces>2562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2021-09-23T01:41:00Z</dcterms:created>
  <dc:creator>A</dc:creator>
  <cp:keywords>CPCA, PCB, 每周资讯, 第141期</cp:keywords>
  <cp:lastModifiedBy>朕已阅</cp:lastModifiedBy>
  <cp:lastPrinted>2021-09-23T03:57:00Z</cp:lastPrinted>
  <dcterms:modified xsi:type="dcterms:W3CDTF">2026-07-31T01:06:43Z</dcterms:modified>
  <dc:subject>CPCA141期每周资讯热点报告</dc:subject>
  <dc:title>CPCA每周资讯第141期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eyJoZGlkIjoiZWFlNjQ3NDIwZDEwN2RkZjI5ZmVhOGI2NjVlYTBkMTciLCJ1c2VySWQiOiIxMzgyMTM1ODU2In0=</vt:lpwstr>
  </property>
  <property fmtid="{D5CDD505-2E9C-101B-9397-08002B2CF9AE}" pid="3" name="KSOProductBuildVer">
    <vt:lpwstr>2052-12.1.0.26895</vt:lpwstr>
  </property>
  <property fmtid="{D5CDD505-2E9C-101B-9397-08002B2CF9AE}" pid="4" name="ICV">
    <vt:lpwstr>81FE32B16EB74C559D65B73DE0848C4E_13</vt:lpwstr>
  </property>
</Properties>
</file>