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F6A1A">
      <w:pPr>
        <w:spacing w:line="360" w:lineRule="auto"/>
        <w:jc w:val="both"/>
      </w:pPr>
    </w:p>
    <w:p w14:paraId="287E5B25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default" w:ascii="Times New Roman" w:hAnsi="Times New Roman" w:eastAsia="仿宋" w:cs="Times New Roman"/>
          <w:color w:val="04AC5C"/>
          <w:sz w:val="32"/>
          <w:szCs w:val="24"/>
          <w:lang w:val="en-US"/>
        </w:rPr>
      </w:pPr>
      <w:r>
        <w:rPr>
          <w:rFonts w:hint="eastAsia" w:ascii="华文楷体" w:hAnsi="华文楷体" w:eastAsia="华文楷体" w:cs="华文楷体"/>
          <w:b/>
          <w:bCs/>
          <w:snapToGrid w:val="0"/>
          <w:color w:val="04AC5C"/>
          <w:kern w:val="0"/>
          <w:sz w:val="28"/>
          <w:szCs w:val="28"/>
          <w:lang w:val="en-US" w:eastAsia="zh-CN" w:bidi="ar"/>
        </w:rPr>
        <w:t>第146期</w:t>
      </w:r>
    </w:p>
    <w:p w14:paraId="62D56D6D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default" w:ascii="Arial" w:hAnsi="Times New Roman" w:eastAsia="仿宋" w:cs="Times New Roman"/>
          <w:color w:val="04AC5C"/>
          <w:sz w:val="21"/>
          <w:szCs w:val="24"/>
          <w:lang w:val="en-US"/>
        </w:rPr>
      </w:pPr>
      <w:r>
        <w:rPr>
          <w:rFonts w:ascii="华文楷体" w:hAnsi="华文楷体" w:eastAsia="华文楷体" w:cs="华文楷体"/>
          <w:b/>
          <w:bCs/>
          <w:snapToGrid w:val="0"/>
          <w:color w:val="04AC5C"/>
          <w:kern w:val="0"/>
          <w:sz w:val="28"/>
          <w:szCs w:val="28"/>
          <w:u w:val="single" w:color="auto"/>
          <w:lang w:val="en-US" w:eastAsia="zh-CN" w:bidi="ar"/>
        </w:rPr>
        <w:t>信息部                                            2026年8月</w:t>
      </w:r>
    </w:p>
    <w:p w14:paraId="6201E98D">
      <w:pPr>
        <w:spacing w:before="260" w:after="260" w:line="413" w:lineRule="auto"/>
        <w:jc w:val="left"/>
        <w:rPr>
          <w:rFonts w:hint="default" w:eastAsia="黑体"/>
          <w:lang w:val="en-US" w:eastAsia="zh-CN"/>
        </w:rPr>
      </w:pPr>
      <w:r>
        <w:rPr>
          <w:rFonts w:ascii="Arial" w:hAnsi="Arial" w:eastAsia="黑体"/>
          <w:b/>
          <w:sz w:val="32"/>
        </w:rPr>
        <w:t>每周资讯|央行加大逆周期调节力度；全球OLED电视出货增长20%；景旺电子推进80万平方米高阶HDI产能建设</w:t>
      </w:r>
    </w:p>
    <w:p w14:paraId="68D49C2D">
      <w:pPr>
        <w:spacing w:before="260" w:after="260" w:line="413" w:lineRule="auto"/>
        <w:ind w:firstLine="0"/>
        <w:jc w:val="left"/>
      </w:pPr>
      <w:r>
        <w:rPr>
          <w:rFonts w:hint="eastAsia" w:ascii="Arial" w:hAnsi="Arial" w:eastAsia="黑体"/>
          <w:b/>
          <w:sz w:val="32"/>
          <w:lang w:val="en-US" w:eastAsia="zh-CN"/>
        </w:rPr>
        <w:t>一、行业</w:t>
      </w:r>
    </w:p>
    <w:p w14:paraId="390C3771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央行发布二季度货币政策执行报告，加大逆周期调节力度</w:t>
      </w:r>
    </w:p>
    <w:p w14:paraId="45A10AB3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12日，中国人民银行发布《2026年第二季度中国货币政策执行报告》。上半年国内生产总值同比增长4.7%，6月末社会融资规模存量和M2同比分别增长7.4%和8.0%，新发放企业贷款利率约3.0%。下一阶段将继续实施适度宽松的货币政策，保持流动性充裕，加大逆周期调节，支持扩大内需、科技创新和中小微企业。（中国人民银行）</w:t>
      </w:r>
    </w:p>
    <w:p w14:paraId="3FEA3A32">
      <w:pPr>
        <w:spacing w:line="360" w:lineRule="auto"/>
      </w:pPr>
    </w:p>
    <w:p w14:paraId="0B73890A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金砖国家工业部长会议通过联合宣言，强化产业链供应链合作</w:t>
      </w:r>
    </w:p>
    <w:p w14:paraId="5F0E5B6D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6日，第十届金砖国家工业部长会议在印度斋浦尔召开，各方围绕中小企业、光伏产业转型、初创企业赋能和物流体系建设等议题交流。会议通过联合宣言，并批准光伏产业工作组行动计划等文件；中方提出依托中国—金砖国家人工智能发展与合作中心等平台，推动安全稳定、畅通高效的产业链供应链建设。（工业和信息化部）</w:t>
      </w:r>
    </w:p>
    <w:p w14:paraId="69AD47F4">
      <w:pPr>
        <w:spacing w:line="360" w:lineRule="auto"/>
      </w:pPr>
    </w:p>
    <w:p w14:paraId="6DBA7856">
      <w:pPr>
        <w:spacing w:line="360" w:lineRule="auto"/>
        <w:jc w:val="center"/>
      </w:pPr>
      <w:r>
        <w:rPr>
          <w:rFonts w:hint="eastAsia" w:ascii="Arial" w:hAnsi="Arial" w:eastAsia="黑体"/>
          <w:b/>
          <w:sz w:val="32"/>
        </w:rPr>
        <w:t>美国7月通胀数据表现温和，美联储加息压力有所缓解</w:t>
      </w:r>
    </w:p>
    <w:p w14:paraId="3B5D3C31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</w:t>
      </w:r>
      <w:r>
        <w:rPr>
          <w:rFonts w:hint="eastAsia" w:ascii="Times New Roman" w:hAnsi="Times New Roman" w:eastAsia="仿宋"/>
          <w:sz w:val="32"/>
          <w:lang w:val="en-US" w:eastAsia="zh-CN"/>
        </w:rPr>
        <w:t>13</w:t>
      </w:r>
      <w:r>
        <w:rPr>
          <w:rFonts w:ascii="Times New Roman" w:hAnsi="Times New Roman" w:eastAsia="仿宋"/>
          <w:sz w:val="32"/>
        </w:rPr>
        <w:t>日，</w:t>
      </w:r>
      <w:r>
        <w:rPr>
          <w:rFonts w:hint="eastAsia" w:ascii="Times New Roman" w:hAnsi="Times New Roman" w:eastAsia="仿宋"/>
          <w:sz w:val="32"/>
        </w:rPr>
        <w:t>美国最新通胀数据出炉。美国劳工部公布数据显示，美国7月未季调CPI同比增速放缓至3.4%，核心CPI同比增速放缓至2.5%，季调后CPI环比上涨0.1%，核心CPI环比上涨0.2%，均符合市场预期。数据公布后，交易员对美联储9月加息预期整体持稳。</w:t>
      </w:r>
      <w:r>
        <w:rPr>
          <w:rFonts w:ascii="Times New Roman" w:hAnsi="Times New Roman" w:eastAsia="仿宋"/>
          <w:sz w:val="32"/>
        </w:rPr>
        <w:t>（</w:t>
      </w:r>
      <w:r>
        <w:rPr>
          <w:rFonts w:hint="eastAsia" w:ascii="Times New Roman" w:hAnsi="Times New Roman" w:eastAsia="仿宋"/>
          <w:sz w:val="32"/>
        </w:rPr>
        <w:t>美国劳工部</w:t>
      </w:r>
      <w:r>
        <w:rPr>
          <w:rFonts w:ascii="Times New Roman" w:hAnsi="Times New Roman" w:eastAsia="仿宋"/>
          <w:sz w:val="32"/>
        </w:rPr>
        <w:t>）</w:t>
      </w:r>
    </w:p>
    <w:p w14:paraId="3CF9EE47">
      <w:pPr>
        <w:spacing w:line="360" w:lineRule="auto"/>
      </w:pPr>
    </w:p>
    <w:p w14:paraId="47C0D899">
      <w:pPr>
        <w:spacing w:before="260" w:after="260" w:line="413" w:lineRule="auto"/>
        <w:ind w:firstLine="0"/>
        <w:jc w:val="left"/>
      </w:pPr>
      <w:r>
        <w:rPr>
          <w:rFonts w:hint="eastAsia" w:ascii="Arial" w:hAnsi="Arial" w:eastAsia="黑体"/>
          <w:b/>
          <w:sz w:val="32"/>
          <w:lang w:val="en-US" w:eastAsia="zh-CN"/>
        </w:rPr>
        <w:t>二、市场</w:t>
      </w:r>
    </w:p>
    <w:p w14:paraId="286B1702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存储器涨价推升手机成本，iPhone 18 Pro成本预计增加38%</w:t>
      </w:r>
    </w:p>
    <w:p w14:paraId="3EDF042D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8月10日，TrendForce表示，受存储器等零部件涨价影响，iPhone 18 Pro 256GB版本BOM成本预计较上年同期新机上升约38%，存储器占Pro机型BOM成本的比重已由一年前约10%升至约34%。安卓中低端机型的毛利缓冲更小，品牌可能通过涨价、缩减配置或停供低毛利产品应对，2026年下半年至2027年全球智能手机产出仍面临下修压力。（TrendForce集邦咨询）</w:t>
      </w:r>
    </w:p>
    <w:p w14:paraId="4A30D542">
      <w:pPr>
        <w:spacing w:line="360" w:lineRule="auto"/>
      </w:pPr>
    </w:p>
    <w:p w14:paraId="0CB0C87A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全球二季度电视出货基本持平，OLED电视同比增长20%</w:t>
      </w:r>
    </w:p>
    <w:p w14:paraId="5B7810C3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8月7日，Counterpoint Research发布数据，2026年6月全球电视出货量同比下降4%，二季度整体同比下降0.4%，基本持平；其中OLED电视6月出货同比增长12%，二季度同比增长20%。三星与TCL在LCD电视市场的出货份额分别为13.7%和13.8%，MiniLED竞争加剧，WOLED降本有望推动OLED电视渗透。（Counterpoint Research）</w:t>
      </w:r>
    </w:p>
    <w:p w14:paraId="19AE7C5F">
      <w:pPr>
        <w:spacing w:line="360" w:lineRule="auto"/>
      </w:pPr>
    </w:p>
    <w:p w14:paraId="66596D5C">
      <w:pPr>
        <w:spacing w:line="360" w:lineRule="auto"/>
      </w:pPr>
    </w:p>
    <w:p w14:paraId="01982EF3">
      <w:pPr>
        <w:spacing w:line="360" w:lineRule="auto"/>
        <w:jc w:val="center"/>
      </w:pPr>
      <w:r>
        <w:rPr>
          <w:rFonts w:hint="eastAsia" w:ascii="Arial" w:hAnsi="Arial" w:eastAsia="黑体"/>
          <w:b/>
          <w:sz w:val="32"/>
        </w:rPr>
        <w:t>IDC：第二季度中国平板电脑市场出货量796万台</w:t>
      </w:r>
      <w:r>
        <w:rPr>
          <w:rFonts w:hint="eastAsia" w:ascii="Arial" w:hAnsi="Arial" w:eastAsia="黑体"/>
          <w:b/>
          <w:sz w:val="32"/>
          <w:lang w:eastAsia="zh-CN"/>
        </w:rPr>
        <w:t>，</w:t>
      </w:r>
      <w:r>
        <w:rPr>
          <w:rFonts w:hint="eastAsia" w:ascii="Arial" w:hAnsi="Arial" w:eastAsia="黑体"/>
          <w:b/>
          <w:sz w:val="32"/>
        </w:rPr>
        <w:t>同比下降4.4%</w:t>
      </w:r>
    </w:p>
    <w:p w14:paraId="03F5C087">
      <w:pPr>
        <w:spacing w:line="360" w:lineRule="auto"/>
        <w:ind w:firstLine="576"/>
        <w:jc w:val="left"/>
        <w:rPr>
          <w:rFonts w:hint="eastAsia" w:eastAsia="仿宋"/>
          <w:lang w:eastAsia="zh-CN"/>
        </w:rPr>
      </w:pPr>
      <w:r>
        <w:rPr>
          <w:rFonts w:hint="eastAsia" w:ascii="Times New Roman" w:hAnsi="Times New Roman" w:eastAsia="仿宋"/>
          <w:sz w:val="32"/>
          <w:lang w:val="en-US" w:eastAsia="zh-CN"/>
        </w:rPr>
        <w:t>8月13日，</w:t>
      </w:r>
      <w:r>
        <w:rPr>
          <w:rFonts w:hint="eastAsia" w:ascii="Times New Roman" w:hAnsi="Times New Roman" w:eastAsia="仿宋"/>
          <w:sz w:val="32"/>
        </w:rPr>
        <w:t>国际数据公司（IDC）发布了2026年第二季度中国平板电脑市场季度跟踪报告。数据显示，2026年第二季度，中国平板电脑市场出货量为796万台，同比下降4.4%，降幅较第一季度小幅收窄。但从市场表现来看，市场压力并未缓解，反而进一步放大。商用市场的大幅增长主要来自涨价预期下的需求前置，而消费市场则在成本上涨、需求提前释放等因素影响下同比下降9.8%。表面上市场跌幅收窄，实际上成本上涨正在加速向需求端传导。</w:t>
      </w:r>
      <w:r>
        <w:rPr>
          <w:rFonts w:hint="eastAsia" w:ascii="Times New Roman" w:hAnsi="Times New Roman" w:eastAsia="仿宋"/>
          <w:sz w:val="32"/>
          <w:lang w:eastAsia="zh-CN"/>
        </w:rPr>
        <w:t>（</w:t>
      </w:r>
      <w:r>
        <w:rPr>
          <w:rFonts w:hint="eastAsia" w:ascii="Times New Roman" w:hAnsi="Times New Roman" w:eastAsia="仿宋"/>
          <w:sz w:val="32"/>
        </w:rPr>
        <w:t>财联社</w:t>
      </w:r>
      <w:r>
        <w:rPr>
          <w:rFonts w:hint="eastAsia" w:ascii="Times New Roman" w:hAnsi="Times New Roman" w:eastAsia="仿宋"/>
          <w:sz w:val="32"/>
          <w:lang w:eastAsia="zh-CN"/>
        </w:rPr>
        <w:t>）</w:t>
      </w:r>
    </w:p>
    <w:p w14:paraId="1F5AEA0F">
      <w:pPr>
        <w:spacing w:line="360" w:lineRule="auto"/>
      </w:pPr>
    </w:p>
    <w:p w14:paraId="2BD96FC9">
      <w:pPr>
        <w:spacing w:before="260" w:after="260" w:line="413" w:lineRule="auto"/>
        <w:ind w:firstLine="0"/>
        <w:jc w:val="left"/>
      </w:pPr>
      <w:r>
        <w:rPr>
          <w:rFonts w:hint="eastAsia" w:ascii="Arial" w:hAnsi="Arial" w:eastAsia="黑体"/>
          <w:b/>
          <w:sz w:val="32"/>
          <w:lang w:val="en-US" w:eastAsia="zh-CN"/>
        </w:rPr>
        <w:t>三、企业</w:t>
      </w:r>
    </w:p>
    <w:p w14:paraId="4848F763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依顿电子拟投29.79亿元建设高端PCB智能制造项目</w:t>
      </w:r>
    </w:p>
    <w:p w14:paraId="0A82C8E6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7日，依顿电子公告拟使用自有及自筹资金29.79亿元，在中山现有园区建设高端高速高多层PCB智能制造项目，建设期21个月，产品以高多层板和高阶HDI为主，面向服务器、高速交换机、路由器、加速卡及算力主板等应用。同日公司披露定增预案，拟募资不超过20亿元，其中18.5亿元用于该项目。（上海证券交易所）</w:t>
      </w:r>
    </w:p>
    <w:p w14:paraId="222F14EC">
      <w:pPr>
        <w:spacing w:line="360" w:lineRule="auto"/>
      </w:pPr>
    </w:p>
    <w:p w14:paraId="54DBED58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景旺电子高阶HDI工厂进入安装调试冲刺阶段</w:t>
      </w:r>
    </w:p>
    <w:p w14:paraId="3F5DB8FF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8月6日，景旺电子披露，珠海金湾高阶HDI工厂已进入内部装修和设备安装调试冲刺阶段，达产后将新增年产80万平方米高阶HDI产能。金湾基地已建成三条mSAP产线，正向全球领先客户交付800G和1.6T光模块PCB。（</w:t>
      </w:r>
      <w:r>
        <w:rPr>
          <w:rFonts w:hint="eastAsia" w:ascii="Times New Roman" w:hAnsi="Times New Roman" w:eastAsia="仿宋"/>
          <w:sz w:val="32"/>
          <w:lang w:val="en-US" w:eastAsia="zh-CN"/>
        </w:rPr>
        <w:t>WIND</w:t>
      </w:r>
      <w:r>
        <w:rPr>
          <w:rFonts w:ascii="Times New Roman" w:hAnsi="Times New Roman" w:eastAsia="仿宋"/>
          <w:sz w:val="32"/>
        </w:rPr>
        <w:t>）</w:t>
      </w:r>
    </w:p>
    <w:p w14:paraId="5506A226">
      <w:pPr>
        <w:spacing w:line="360" w:lineRule="auto"/>
      </w:pPr>
    </w:p>
    <w:p w14:paraId="7A35894A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金安国纪</w:t>
      </w:r>
      <w:r>
        <w:rPr>
          <w:rFonts w:hint="eastAsia" w:ascii="Arial" w:hAnsi="Arial" w:eastAsia="黑体"/>
          <w:b/>
          <w:sz w:val="32"/>
        </w:rPr>
        <w:t>公司募集约13亿元</w:t>
      </w:r>
      <w:r>
        <w:rPr>
          <w:rFonts w:hint="eastAsia" w:ascii="Arial" w:hAnsi="Arial" w:eastAsia="黑体"/>
          <w:b/>
          <w:sz w:val="32"/>
          <w:lang w:val="en-US" w:eastAsia="zh-CN"/>
        </w:rPr>
        <w:t>于</w:t>
      </w:r>
      <w:r>
        <w:rPr>
          <w:rFonts w:hint="eastAsia" w:ascii="Arial" w:hAnsi="Arial" w:eastAsia="黑体"/>
          <w:b/>
          <w:sz w:val="32"/>
        </w:rPr>
        <w:t>覆铜板项目及研发中心建设</w:t>
      </w:r>
    </w:p>
    <w:p w14:paraId="3EEFF594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12日，金安国纪公告收到中国证监会关于向特定对象发行股票的注册批复，有效期12个月。公司拟募集资金不超过约13亿元，用于年产4000万平方米高等级覆铜板项目及研发中心建设，扩大高等级覆铜板产能，并推进高频高速、耐高温特种覆铜板等技术研发。（金安国纪</w:t>
      </w:r>
      <w:r>
        <w:rPr>
          <w:rFonts w:hint="eastAsia" w:ascii="Times New Roman" w:hAnsi="Times New Roman" w:eastAsia="仿宋"/>
          <w:sz w:val="32"/>
          <w:lang w:val="en-US" w:eastAsia="zh-CN"/>
        </w:rPr>
        <w:t>公告</w:t>
      </w:r>
      <w:r>
        <w:rPr>
          <w:rFonts w:ascii="Times New Roman" w:hAnsi="Times New Roman" w:eastAsia="仿宋"/>
          <w:sz w:val="32"/>
        </w:rPr>
        <w:t>）</w:t>
      </w:r>
    </w:p>
    <w:p w14:paraId="13A1F078">
      <w:pPr>
        <w:spacing w:line="360" w:lineRule="auto"/>
      </w:pPr>
    </w:p>
    <w:p w14:paraId="30D26102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华正新材定增拟</w:t>
      </w:r>
      <w:r>
        <w:rPr>
          <w:rFonts w:hint="eastAsia" w:ascii="Arial" w:hAnsi="Arial" w:eastAsia="黑体"/>
          <w:b/>
          <w:sz w:val="32"/>
        </w:rPr>
        <w:t>10亿元</w:t>
      </w:r>
      <w:r>
        <w:rPr>
          <w:rFonts w:ascii="Arial" w:hAnsi="Arial" w:eastAsia="黑体"/>
          <w:b/>
          <w:sz w:val="32"/>
        </w:rPr>
        <w:t>扩产高等级覆铜板</w:t>
      </w:r>
    </w:p>
    <w:p w14:paraId="23003CC9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6日，华正新材公告，其向特定对象发行A股股票申请已获上海证券交易所受理，后续尚需通过上交所审核并获得中国证监会同意注册。公司本次拟募集资金不超过12亿元，其中10亿元用于年产1200万张高等级覆铜板项目，2亿元用于补充流动资金，项目面向高速通信、算力基础设施及半导体封装等高端应用。（</w:t>
      </w:r>
      <w:r>
        <w:rPr>
          <w:rFonts w:hint="eastAsia" w:ascii="Times New Roman" w:hAnsi="Times New Roman" w:eastAsia="仿宋"/>
          <w:sz w:val="32"/>
          <w:lang w:val="en-US" w:eastAsia="zh-CN"/>
        </w:rPr>
        <w:t>证券时报</w:t>
      </w:r>
      <w:r>
        <w:rPr>
          <w:rFonts w:ascii="Times New Roman" w:hAnsi="Times New Roman" w:eastAsia="仿宋"/>
          <w:sz w:val="32"/>
        </w:rPr>
        <w:t>）</w:t>
      </w:r>
    </w:p>
    <w:p w14:paraId="7CCE28BB">
      <w:pPr>
        <w:spacing w:line="360" w:lineRule="auto"/>
      </w:pPr>
    </w:p>
    <w:p w14:paraId="7AD78662">
      <w:pPr>
        <w:spacing w:line="360" w:lineRule="auto"/>
        <w:ind w:firstLine="576"/>
        <w:jc w:val="left"/>
        <w:rPr>
          <w:rFonts w:hint="eastAsia" w:ascii="Arial" w:hAnsi="Arial" w:eastAsia="黑体"/>
          <w:b/>
          <w:sz w:val="32"/>
        </w:rPr>
      </w:pPr>
      <w:r>
        <w:rPr>
          <w:rFonts w:hint="eastAsia" w:ascii="Arial" w:hAnsi="Arial" w:eastAsia="黑体"/>
          <w:b/>
          <w:sz w:val="32"/>
        </w:rPr>
        <w:t>容大感光拟增加泰国子公司投资额度至3500万美元</w:t>
      </w:r>
    </w:p>
    <w:p w14:paraId="554F2EE1">
      <w:pPr>
        <w:spacing w:line="360" w:lineRule="auto"/>
        <w:ind w:firstLine="576"/>
        <w:jc w:val="left"/>
        <w:rPr>
          <w:rFonts w:hint="default" w:ascii="Times New Roman" w:hAnsi="Times New Roman" w:eastAsia="仿宋"/>
          <w:sz w:val="32"/>
          <w:lang w:val="en-US" w:eastAsia="zh-CN"/>
        </w:rPr>
      </w:pPr>
      <w:r>
        <w:rPr>
          <w:rFonts w:hint="eastAsia" w:ascii="Times New Roman" w:hAnsi="Times New Roman" w:eastAsia="仿宋"/>
          <w:sz w:val="32"/>
        </w:rPr>
        <w:t>8月12日，容大感光发布拟增加境外子公司投资额的公告。公告显示，公司拟将全资子公司容大感光科技（泰国）有限公司的投资额由700万美元增加至3,500万美元。本次增加后的投资额与公司2026年度向特定对象发行股票预案中泰国加工基地建设项目总投资额23,529.07万元（含拟使用募集资金21,500.00万元及自有资金）相匹配。</w:t>
      </w:r>
      <w:r>
        <w:rPr>
          <w:rFonts w:hint="eastAsia" w:ascii="Times New Roman" w:hAnsi="Times New Roman" w:eastAsia="仿宋"/>
          <w:sz w:val="32"/>
          <w:lang w:val="en-US" w:eastAsia="zh-CN"/>
        </w:rPr>
        <w:t>(WIND)</w:t>
      </w:r>
    </w:p>
    <w:p w14:paraId="21927C11">
      <w:pPr>
        <w:spacing w:line="360" w:lineRule="auto"/>
        <w:jc w:val="left"/>
        <w:rPr>
          <w:rFonts w:hint="eastAsia" w:ascii="Times New Roman" w:hAnsi="Times New Roman" w:eastAsia="仿宋"/>
          <w:sz w:val="32"/>
        </w:rPr>
      </w:pPr>
    </w:p>
    <w:p w14:paraId="2BD43F3A">
      <w:pPr>
        <w:spacing w:line="360" w:lineRule="auto"/>
        <w:jc w:val="center"/>
        <w:rPr>
          <w:rFonts w:hint="eastAsia"/>
        </w:rPr>
      </w:pPr>
      <w:r>
        <w:rPr>
          <w:rFonts w:hint="eastAsia" w:ascii="Arial" w:hAnsi="Arial" w:eastAsia="黑体"/>
          <w:b/>
          <w:sz w:val="32"/>
        </w:rPr>
        <w:t>四会富仕更新定增材料，拟扩建高多层及HDI电路板产能</w:t>
      </w:r>
    </w:p>
    <w:p w14:paraId="76DA8B00">
      <w:pPr>
        <w:spacing w:line="360" w:lineRule="auto"/>
        <w:ind w:firstLine="576"/>
        <w:jc w:val="left"/>
        <w:rPr>
          <w:rFonts w:hint="eastAsia" w:ascii="Times New Roman" w:hAnsi="Times New Roman" w:eastAsia="仿宋"/>
          <w:sz w:val="32"/>
        </w:rPr>
      </w:pPr>
      <w:r>
        <w:rPr>
          <w:rFonts w:hint="eastAsia" w:ascii="Times New Roman" w:hAnsi="Times New Roman" w:eastAsia="仿宋"/>
          <w:sz w:val="32"/>
        </w:rPr>
        <w:t>8月6日，四会富仕更新定增募集说明书及审核问询回复，拟募集资金不超过9.3亿元，全部用于年产60万平方米高多层、HDI电路板项目（一期），项目总投资约10.92亿元。项目面向服务器、智能终端和光模块等领域，达产后将新增年产60万平方米高多层及HDI电路板产能。（</w:t>
      </w:r>
      <w:r>
        <w:rPr>
          <w:rFonts w:hint="eastAsia" w:ascii="Times New Roman" w:hAnsi="Times New Roman" w:eastAsia="仿宋"/>
          <w:sz w:val="32"/>
          <w:lang w:val="en-US" w:eastAsia="zh-CN"/>
        </w:rPr>
        <w:t>四会富仕公告</w:t>
      </w:r>
      <w:r>
        <w:rPr>
          <w:rFonts w:hint="eastAsia" w:ascii="Times New Roman" w:hAnsi="Times New Roman" w:eastAsia="仿宋"/>
          <w:sz w:val="32"/>
        </w:rPr>
        <w:t>）</w:t>
      </w:r>
    </w:p>
    <w:p w14:paraId="542FB143">
      <w:pPr>
        <w:spacing w:line="360" w:lineRule="auto"/>
        <w:jc w:val="center"/>
        <w:rPr>
          <w:rFonts w:hint="eastAsia"/>
        </w:rPr>
      </w:pPr>
      <w:r>
        <w:rPr>
          <w:rFonts w:hint="eastAsia" w:ascii="Arial" w:hAnsi="Arial" w:eastAsia="黑体"/>
          <w:b/>
          <w:sz w:val="32"/>
        </w:rPr>
        <w:t>光洋股份</w:t>
      </w:r>
      <w:r>
        <w:rPr>
          <w:rFonts w:hint="eastAsia" w:ascii="Arial" w:hAnsi="Arial" w:eastAsia="黑体"/>
          <w:b/>
          <w:sz w:val="32"/>
          <w:lang w:val="en-US" w:eastAsia="zh-CN"/>
        </w:rPr>
        <w:t>收购</w:t>
      </w:r>
      <w:r>
        <w:rPr>
          <w:rFonts w:hint="eastAsia" w:ascii="Arial" w:hAnsi="Arial" w:eastAsia="黑体"/>
          <w:b/>
          <w:sz w:val="32"/>
        </w:rPr>
        <w:t>常熟东南相互电子有限公司</w:t>
      </w:r>
    </w:p>
    <w:p w14:paraId="144A402C">
      <w:pPr>
        <w:spacing w:line="360" w:lineRule="auto"/>
        <w:ind w:firstLine="576"/>
        <w:jc w:val="left"/>
        <w:rPr>
          <w:rFonts w:hint="default" w:ascii="Times New Roman" w:hAnsi="Times New Roman" w:eastAsia="仿宋"/>
          <w:sz w:val="32"/>
          <w:lang w:val="en-US" w:eastAsia="zh-CN"/>
        </w:rPr>
      </w:pPr>
      <w:r>
        <w:rPr>
          <w:rFonts w:hint="eastAsia" w:ascii="Times New Roman" w:hAnsi="Times New Roman" w:eastAsia="仿宋"/>
          <w:sz w:val="32"/>
        </w:rPr>
        <w:t>8月7日，光洋股份已经完成常熟东南相互电子有限公司100%股权工商变更登记，交易对价6.22亿元，这标志着东南相互正式纳入光洋股份合并报表范围，光洋股份在PCB领域的战略布局迈出关键一步。本次工商变更完成后，公司成为常熟东南相互电子有限公司股东，持有其100%股权，常熟东南相互电子有限公司纳入公司合并报表范围。（</w:t>
      </w:r>
      <w:r>
        <w:rPr>
          <w:rFonts w:hint="eastAsia" w:ascii="Times New Roman" w:hAnsi="Times New Roman" w:eastAsia="仿宋"/>
          <w:sz w:val="32"/>
          <w:lang w:val="en-US" w:eastAsia="zh-CN"/>
        </w:rPr>
        <w:t>WIND</w:t>
      </w:r>
      <w:bookmarkStart w:id="0" w:name="_GoBack"/>
      <w:bookmarkEnd w:id="0"/>
      <w:r>
        <w:rPr>
          <w:rFonts w:hint="eastAsia" w:ascii="Times New Roman" w:hAnsi="Times New Roman" w:eastAsia="仿宋"/>
          <w:sz w:val="32"/>
        </w:rPr>
        <w:t>）</w:t>
      </w:r>
    </w:p>
    <w:p w14:paraId="509F01DF">
      <w:pPr>
        <w:spacing w:line="360" w:lineRule="auto"/>
        <w:ind w:firstLine="576"/>
        <w:jc w:val="left"/>
        <w:rPr>
          <w:rFonts w:hint="default" w:ascii="Times New Roman" w:hAnsi="Times New Roman" w:eastAsia="仿宋"/>
          <w:sz w:val="32"/>
          <w:lang w:val="en-US" w:eastAsia="zh-CN"/>
        </w:rPr>
      </w:pPr>
    </w:p>
    <w:p w14:paraId="46DBC002">
      <w:pPr>
        <w:spacing w:line="360" w:lineRule="auto"/>
        <w:jc w:val="left"/>
        <w:rPr>
          <w:rFonts w:hint="eastAsia" w:ascii="Times New Roman" w:hAnsi="Times New Roman" w:eastAsia="仿宋"/>
          <w:sz w:val="32"/>
        </w:rPr>
      </w:pPr>
    </w:p>
    <w:p w14:paraId="5BFEFDA5">
      <w:pPr>
        <w:spacing w:line="360" w:lineRule="auto"/>
        <w:jc w:val="right"/>
      </w:pPr>
      <w:r>
        <w:rPr>
          <w:rFonts w:ascii="Arial" w:hAnsi="Arial" w:eastAsia="黑体"/>
          <w:b/>
          <w:sz w:val="32"/>
        </w:rPr>
        <w:t>更多精彩内容请扫描下方二维码，关注CPCA服务号</w:t>
      </w:r>
    </w:p>
    <w:p w14:paraId="6A4A3C9A">
      <w:pPr>
        <w:spacing w:line="360" w:lineRule="auto"/>
        <w:jc w:val="right"/>
      </w:pPr>
      <w:r>
        <w:rPr>
          <w:rFonts w:ascii="Times New Roman" w:hAnsi="Times New Roman" w:eastAsia="仿宋"/>
          <w:sz w:val="32"/>
        </w:rPr>
        <w:t>撰稿人：张国旗</w:t>
      </w:r>
    </w:p>
    <w:p w14:paraId="5B639555">
      <w:pPr>
        <w:spacing w:line="360" w:lineRule="auto"/>
        <w:jc w:val="right"/>
      </w:pPr>
      <w:r>
        <w:rPr>
          <w:rFonts w:ascii="华文仿宋" w:hAnsi="华文仿宋" w:eastAsia="华文仿宋"/>
          <w:sz w:val="28"/>
        </w:rPr>
        <w:t>审核：张运</w:t>
      </w:r>
    </w:p>
    <w:p w14:paraId="044B3D61">
      <w:pPr>
        <w:widowControl w:val="0"/>
        <w:bidi w:val="0"/>
        <w:spacing w:line="240" w:lineRule="auto"/>
        <w:ind w:left="0" w:leftChars="0" w:firstLine="0" w:firstLineChars="0"/>
        <w:jc w:val="right"/>
        <w:rPr>
          <w:rFonts w:hint="default" w:ascii="Times New Roman" w:hAnsi="Times New Roman" w:eastAsia="仿宋" w:cs="Times New Roman"/>
          <w:sz w:val="32"/>
          <w:szCs w:val="24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24"/>
        </w:rPr>
        <w:drawing>
          <wp:inline distT="0" distB="0" distL="114300" distR="114300">
            <wp:extent cx="1187450" cy="1168400"/>
            <wp:effectExtent l="0" t="0" r="6350" b="0"/>
            <wp:docPr id="3" name="图片 10" descr="Image: 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0" descr="Image: image2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745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ACD8E">
      <w:r>
        <w:rPr>
          <w:rFonts w:hint="default" w:ascii="Times New Roman" w:hAnsi="Times New Roman" w:eastAsia="仿宋" w:cs="Times New Roman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3675" cy="3503295"/>
            <wp:effectExtent l="0" t="0" r="9525" b="1905"/>
            <wp:docPr id="2" name="图片 2" descr="467b3544aa10c7b69a0d3f65ce8dd4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67b3544aa10c7b69a0d3f65ce8dd4d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56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F4FE4">
    <w:pPr>
      <w:pStyle w:val="4"/>
      <w:pBdr>
        <w:bottom w:val="none" w:color="auto" w:sz="0" w:space="0"/>
      </w:pBdr>
      <w:jc w:val="both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69215</wp:posOffset>
          </wp:positionV>
          <wp:extent cx="6782435" cy="513080"/>
          <wp:effectExtent l="0" t="0" r="0" b="1270"/>
          <wp:wrapTight wrapText="bothSides">
            <wp:wrapPolygon>
              <wp:start x="15713" y="0"/>
              <wp:lineTo x="0" y="0"/>
              <wp:lineTo x="0" y="18446"/>
              <wp:lineTo x="5703" y="20851"/>
              <wp:lineTo x="21477" y="20851"/>
              <wp:lineTo x="21477" y="17644"/>
              <wp:lineTo x="20203" y="13634"/>
              <wp:lineTo x="19232" y="12832"/>
              <wp:lineTo x="21355" y="8822"/>
              <wp:lineTo x="21477" y="4812"/>
              <wp:lineTo x="20809" y="0"/>
              <wp:lineTo x="15713" y="0"/>
            </wp:wrapPolygon>
          </wp:wrapTight>
          <wp:docPr id="1" name="图片 1" descr="C:\Users\Administrator\Desktop\未标题-1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\Users\Administrator\Desktop\未标题-1.w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2585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A87"/>
    <w:rsid w:val="00065C06"/>
    <w:rsid w:val="0035113B"/>
    <w:rsid w:val="003A66A4"/>
    <w:rsid w:val="004F2A87"/>
    <w:rsid w:val="006B3D1E"/>
    <w:rsid w:val="007065AE"/>
    <w:rsid w:val="0073199B"/>
    <w:rsid w:val="007456A0"/>
    <w:rsid w:val="008355BB"/>
    <w:rsid w:val="009014D3"/>
    <w:rsid w:val="00C372FC"/>
    <w:rsid w:val="00D65DCA"/>
    <w:rsid w:val="00E70812"/>
    <w:rsid w:val="00F70C01"/>
    <w:rsid w:val="00FF5190"/>
    <w:rsid w:val="045F663E"/>
    <w:rsid w:val="06B47FC9"/>
    <w:rsid w:val="071C1AB9"/>
    <w:rsid w:val="07221569"/>
    <w:rsid w:val="07DD40F6"/>
    <w:rsid w:val="083B7C49"/>
    <w:rsid w:val="0CB1267E"/>
    <w:rsid w:val="0E0A67C5"/>
    <w:rsid w:val="0E73679E"/>
    <w:rsid w:val="0FA436B7"/>
    <w:rsid w:val="0FAD6545"/>
    <w:rsid w:val="0FC0235B"/>
    <w:rsid w:val="10CF4D8A"/>
    <w:rsid w:val="13A55F62"/>
    <w:rsid w:val="164B0998"/>
    <w:rsid w:val="16E96798"/>
    <w:rsid w:val="18700773"/>
    <w:rsid w:val="1CDA2E0B"/>
    <w:rsid w:val="21A55BAC"/>
    <w:rsid w:val="21A60DC4"/>
    <w:rsid w:val="225C17EC"/>
    <w:rsid w:val="236405A0"/>
    <w:rsid w:val="25AF1BE4"/>
    <w:rsid w:val="25B55B0A"/>
    <w:rsid w:val="25EE16C9"/>
    <w:rsid w:val="264A2919"/>
    <w:rsid w:val="266175BF"/>
    <w:rsid w:val="27003495"/>
    <w:rsid w:val="28C049EA"/>
    <w:rsid w:val="29163431"/>
    <w:rsid w:val="29EF0897"/>
    <w:rsid w:val="2B767FBE"/>
    <w:rsid w:val="2BF15CE7"/>
    <w:rsid w:val="2D364384"/>
    <w:rsid w:val="2DC669A6"/>
    <w:rsid w:val="2E4775E3"/>
    <w:rsid w:val="2EDE3EE6"/>
    <w:rsid w:val="315179C6"/>
    <w:rsid w:val="33274995"/>
    <w:rsid w:val="33A475BE"/>
    <w:rsid w:val="33C137F8"/>
    <w:rsid w:val="369A381C"/>
    <w:rsid w:val="36ED7D2B"/>
    <w:rsid w:val="37CF5FD6"/>
    <w:rsid w:val="381216B5"/>
    <w:rsid w:val="38AD19AF"/>
    <w:rsid w:val="39431EEE"/>
    <w:rsid w:val="39F27144"/>
    <w:rsid w:val="3A522D3D"/>
    <w:rsid w:val="3A6D2312"/>
    <w:rsid w:val="3ACF3611"/>
    <w:rsid w:val="3B265F2E"/>
    <w:rsid w:val="3B766568"/>
    <w:rsid w:val="3ED15FEF"/>
    <w:rsid w:val="3EDF266A"/>
    <w:rsid w:val="3F233925"/>
    <w:rsid w:val="3FDD3C4F"/>
    <w:rsid w:val="40297E1C"/>
    <w:rsid w:val="44BD69EB"/>
    <w:rsid w:val="456055DE"/>
    <w:rsid w:val="45F31C63"/>
    <w:rsid w:val="45FD6761"/>
    <w:rsid w:val="461343DB"/>
    <w:rsid w:val="4ABF4154"/>
    <w:rsid w:val="4B4134FD"/>
    <w:rsid w:val="4B543446"/>
    <w:rsid w:val="4E4364C2"/>
    <w:rsid w:val="50EA418D"/>
    <w:rsid w:val="510C0237"/>
    <w:rsid w:val="521E7BC5"/>
    <w:rsid w:val="52762767"/>
    <w:rsid w:val="52793D86"/>
    <w:rsid w:val="536C7C6B"/>
    <w:rsid w:val="53A662DF"/>
    <w:rsid w:val="53AD3873"/>
    <w:rsid w:val="53CF538E"/>
    <w:rsid w:val="557B2A48"/>
    <w:rsid w:val="55DB0099"/>
    <w:rsid w:val="57F01B04"/>
    <w:rsid w:val="596C1A28"/>
    <w:rsid w:val="59E7637A"/>
    <w:rsid w:val="59EE1099"/>
    <w:rsid w:val="5CF95551"/>
    <w:rsid w:val="5D9615A2"/>
    <w:rsid w:val="61863437"/>
    <w:rsid w:val="61E21505"/>
    <w:rsid w:val="624D40D3"/>
    <w:rsid w:val="62E354DE"/>
    <w:rsid w:val="632528C9"/>
    <w:rsid w:val="642D34F2"/>
    <w:rsid w:val="64592EAE"/>
    <w:rsid w:val="65326415"/>
    <w:rsid w:val="65605C5F"/>
    <w:rsid w:val="65AE7F5D"/>
    <w:rsid w:val="65FB0E53"/>
    <w:rsid w:val="66452A5A"/>
    <w:rsid w:val="66C33328"/>
    <w:rsid w:val="678149E0"/>
    <w:rsid w:val="68BE0B64"/>
    <w:rsid w:val="68D47E6F"/>
    <w:rsid w:val="691A127E"/>
    <w:rsid w:val="692244D0"/>
    <w:rsid w:val="6968585F"/>
    <w:rsid w:val="6A19339F"/>
    <w:rsid w:val="6BCE176C"/>
    <w:rsid w:val="6D07449C"/>
    <w:rsid w:val="6D8365BD"/>
    <w:rsid w:val="6E2A4350"/>
    <w:rsid w:val="6E3E1339"/>
    <w:rsid w:val="6E6D657F"/>
    <w:rsid w:val="6EC32276"/>
    <w:rsid w:val="6F0F1346"/>
    <w:rsid w:val="6F57027E"/>
    <w:rsid w:val="6F7810F5"/>
    <w:rsid w:val="71313AC1"/>
    <w:rsid w:val="72DB7A02"/>
    <w:rsid w:val="72DE08AE"/>
    <w:rsid w:val="72EE6ECA"/>
    <w:rsid w:val="73A51C06"/>
    <w:rsid w:val="752B4467"/>
    <w:rsid w:val="772054B7"/>
    <w:rsid w:val="77B64349"/>
    <w:rsid w:val="78404F59"/>
    <w:rsid w:val="78D0113A"/>
    <w:rsid w:val="79120DC0"/>
    <w:rsid w:val="7B086666"/>
    <w:rsid w:val="7B870239"/>
    <w:rsid w:val="7C007CD6"/>
    <w:rsid w:val="7C6C3669"/>
    <w:rsid w:val="7CFB2380"/>
    <w:rsid w:val="7DC1685E"/>
    <w:rsid w:val="7E4839B7"/>
    <w:rsid w:val="7E9D64A0"/>
    <w:rsid w:val="7F726CC2"/>
    <w:rsid w:val="7FC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2023</Words>
  <Characters>2351</Characters>
  <Lines>0</Lines>
  <Paragraphs>0</Paragraphs>
  <TotalTime>7</TotalTime>
  <ScaleCrop>false</ScaleCrop>
  <LinksUpToDate>false</LinksUpToDate>
  <CharactersWithSpaces>2405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2021-09-23T01:41:00Z</dcterms:created>
  <dc:creator>A</dc:creator>
  <cp:keywords>CPCA, PCB, 每周资讯, 第146期, 宏观, 终端, 企业</cp:keywords>
  <cp:lastModifiedBy>朕已阅</cp:lastModifiedBy>
  <cp:lastPrinted>2021-09-23T03:57:00Z</cp:lastPrinted>
  <dcterms:modified xsi:type="dcterms:W3CDTF">2026-08-13T05:07:58Z</dcterms:modified>
  <dc:subject>2026年8月6日至8月12日PCB行业每周资讯</dc:subject>
  <dc:title>CPCA146最终版期每周资讯热点报告（更新版）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eyJoZGlkIjoiZWFlNjQ3NDIwZDEwN2RkZjI5ZmVhOGI2NjVlYTBkMTciLCJ1c2VySWQiOiIxMzgyMTM1ODU2In0=</vt:lpwstr>
  </property>
  <property fmtid="{D5CDD505-2E9C-101B-9397-08002B2CF9AE}" pid="3" name="KSOProductBuildVer">
    <vt:lpwstr>2052-12.1.0.28043</vt:lpwstr>
  </property>
  <property fmtid="{D5CDD505-2E9C-101B-9397-08002B2CF9AE}" pid="4" name="ICV">
    <vt:lpwstr>475234387207408695256EAD167E8E62_13</vt:lpwstr>
  </property>
</Properties>
</file>