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8F6A1A">
      <w:pPr>
        <w:spacing w:line="360" w:lineRule="auto"/>
        <w:jc w:val="both"/>
      </w:pPr>
    </w:p>
    <w:p w14:paraId="287E5B25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default" w:ascii="Times New Roman" w:hAnsi="Times New Roman" w:eastAsia="仿宋" w:cs="Times New Roman"/>
          <w:color w:val="04AC5C"/>
          <w:sz w:val="32"/>
          <w:szCs w:val="24"/>
          <w:lang w:val="en-US"/>
        </w:rPr>
      </w:pPr>
      <w:r>
        <w:rPr>
          <w:rFonts w:hint="eastAsia" w:ascii="华文楷体" w:hAnsi="华文楷体" w:eastAsia="华文楷体" w:cs="华文楷体"/>
          <w:b/>
          <w:bCs/>
          <w:snapToGrid w:val="0"/>
          <w:color w:val="04AC5C"/>
          <w:kern w:val="0"/>
          <w:sz w:val="28"/>
          <w:szCs w:val="28"/>
          <w:lang w:val="en-US" w:eastAsia="zh-CN" w:bidi="ar"/>
        </w:rPr>
        <w:t>第148期</w:t>
      </w:r>
    </w:p>
    <w:p w14:paraId="62D56D6D"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default" w:ascii="Arial" w:hAnsi="Times New Roman" w:eastAsia="仿宋" w:cs="Times New Roman"/>
          <w:color w:val="04AC5C"/>
          <w:sz w:val="21"/>
          <w:szCs w:val="24"/>
          <w:lang w:val="en-US"/>
        </w:rPr>
      </w:pPr>
      <w:r>
        <w:rPr>
          <w:rFonts w:ascii="华文楷体" w:hAnsi="华文楷体" w:eastAsia="华文楷体" w:cs="华文楷体"/>
          <w:b/>
          <w:bCs/>
          <w:snapToGrid w:val="0"/>
          <w:color w:val="04AC5C"/>
          <w:kern w:val="0"/>
          <w:sz w:val="28"/>
          <w:szCs w:val="28"/>
          <w:u w:val="single" w:color="auto"/>
          <w:lang w:val="en-US" w:eastAsia="zh-CN" w:bidi="ar"/>
        </w:rPr>
        <w:t>信息部                                            2026年8月</w:t>
      </w:r>
    </w:p>
    <w:p w14:paraId="6201E98D">
      <w:pPr>
        <w:spacing w:before="260" w:after="260" w:line="413" w:lineRule="auto"/>
        <w:jc w:val="left"/>
        <w:rPr>
          <w:rFonts w:hint="default" w:eastAsia="黑体"/>
          <w:lang w:val="en-US" w:eastAsia="zh-CN"/>
        </w:rPr>
      </w:pPr>
      <w:r>
        <w:rPr>
          <w:rFonts w:ascii="Arial" w:hAnsi="Arial" w:eastAsia="黑体"/>
          <w:b/>
          <w:sz w:val="32"/>
        </w:rPr>
        <w:t>每周资讯|下半年财政政策继续发力；中国人形机器人上半年出货超4万台；景旺电子拟投43.88亿元扩产</w:t>
      </w:r>
      <w:r>
        <w:rPr>
          <w:rFonts w:hint="eastAsia" w:ascii="Arial" w:hAnsi="Arial" w:eastAsia="黑体"/>
          <w:b/>
          <w:sz w:val="32"/>
          <w:lang w:val="en-US" w:eastAsia="zh-CN"/>
        </w:rPr>
        <w:t/>
      </w:r>
      <w:r>
        <w:rPr>
          <w:rFonts w:ascii="Arial" w:hAnsi="Arial" w:eastAsia="黑体"/>
          <w:b/>
          <w:sz w:val="32"/>
        </w:rPr>
        <w:t/>
      </w:r>
    </w:p>
    <w:p w14:paraId="68D49C2D">
      <w:pPr>
        <w:spacing w:before="260" w:after="260" w:line="413" w:lineRule="auto"/>
        <w:ind w:firstLine="0"/>
        <w:jc w:val="left"/>
      </w:pPr>
      <w:r>
        <w:rPr>
          <w:rFonts w:hint="eastAsia" w:ascii="Arial" w:hAnsi="Arial" w:eastAsia="黑体"/>
          <w:b/>
          <w:sz w:val="32"/>
          <w:lang w:val="en-US" w:eastAsia="zh-CN"/>
        </w:rPr>
        <w:t>一、行业</w:t>
      </w:r>
    </w:p>
    <w:p w14:paraId="390C3771">
      <w:pPr>
        <w:spacing w:line="360" w:lineRule="auto"/>
        <w:jc w:val="center"/>
      </w:pPr>
      <w:r>
        <w:rPr>
          <w:rFonts w:ascii="Arial" w:hAnsi="Arial" w:eastAsia="黑体"/>
          <w:b/>
          <w:sz w:val="32"/>
        </w:rPr>
        <w:t>下半年积极财政政策继续发力，增量政策将适时出台</w:t>
      </w:r>
    </w:p>
    <w:p w14:paraId="45A10AB3">
      <w:pPr>
        <w:spacing w:line="360" w:lineRule="auto"/>
        <w:ind w:firstLine="576"/>
        <w:jc w:val="left"/>
      </w:pPr>
      <w:r>
        <w:rPr>
          <w:rFonts w:ascii="Times New Roman" w:hAnsi="Times New Roman" w:eastAsia="仿宋"/>
          <w:sz w:val="32"/>
        </w:rPr>
        <w:t>8月21日，国务院新闻办公室举行新闻发布会。财政部介绍，2026年财政支出预算首次超过30万亿元，新增政府债券11.89万亿元；下半年仍有2万多亿元地方政府专项债券和超长期特别国债待发行使用。财政部将加快资金使用、加力扩大内需，并根据经济运行情况及时谋划务实管用的增量政策。（中国政府网）</w:t>
      </w:r>
    </w:p>
    <w:p w14:paraId="3FEA3A32">
      <w:pPr>
        <w:spacing w:line="360" w:lineRule="auto"/>
      </w:pPr>
    </w:p>
    <w:p w14:paraId="0B73890A">
      <w:pPr>
        <w:spacing w:line="360" w:lineRule="auto"/>
        <w:jc w:val="center"/>
      </w:pPr>
      <w:r>
        <w:rPr>
          <w:rFonts w:ascii="Arial" w:hAnsi="Arial" w:eastAsia="黑体"/>
          <w:b/>
          <w:sz w:val="32"/>
        </w:rPr>
        <w:t>上半年数字产业收入增长13.6%，利润增长19.3%</w:t>
      </w:r>
    </w:p>
    <w:p w14:paraId="5F0E5B6D">
      <w:pPr>
        <w:spacing w:line="360" w:lineRule="auto"/>
        <w:ind w:firstLine="576"/>
        <w:jc w:val="left"/>
      </w:pPr>
      <w:r>
        <w:rPr>
          <w:rFonts w:ascii="Times New Roman" w:hAnsi="Times New Roman" w:eastAsia="仿宋"/>
          <w:sz w:val="32"/>
        </w:rPr>
        <w:t>8月26日，工业和信息化部发布2026年上半年数字产业运行情况：实现收入20.71万亿元，同比增长13.6%；利润总额1.79万亿元，同比增长19.3%，收入利润率8.6%。收入前十省市合计17.21万亿元，占全国83.1%，产业集聚效应进一步增强。（工业和信息化部）</w:t>
      </w:r>
    </w:p>
    <w:p w14:paraId="69AD47F4">
      <w:pPr>
        <w:spacing w:line="360" w:lineRule="auto"/>
      </w:pPr>
    </w:p>
    <w:p w14:paraId="6DBA7856">
      <w:pPr>
        <w:spacing w:line="360" w:lineRule="auto"/>
        <w:jc w:val="center"/>
      </w:pPr>
      <w:r>
        <w:rPr>
          <w:rFonts w:hint="eastAsia" w:ascii="Arial" w:hAnsi="Arial" w:eastAsia="黑体"/>
          <w:b/>
          <w:sz w:val="32"/>
        </w:rPr>
        <w:t>美国二季度GDP年化增长1.5%，核心PCE同比上涨3.3%</w:t>
      </w:r>
    </w:p>
    <w:p w14:paraId="3CF9EE47">
      <w:pPr>
        <w:spacing w:line="360" w:lineRule="auto"/>
        <w:ind w:firstLine="576"/>
        <w:jc w:val="left"/>
      </w:pPr>
      <w:r>
        <w:rPr>
          <w:rFonts w:ascii="Times New Roman" w:hAnsi="Times New Roman" w:eastAsia="仿宋"/>
          <w:sz w:val="32"/>
        </w:rPr>
        <w:t>8月26日，美国商务部经济分析局公布二季度GDP第二次估算，实际GDP按年率增长1.5%，低于一季度的2.1%；实际国内总收入增长2.2%。同日公布的7月PCE价格指数同比上涨3.7%，核心PCE同比上涨3.3%，显示经济放缓但通胀压力仍在。（美国商务部经济分析局）</w:t>
      </w:r>
    </w:p>
    <w:p w14:paraId="47C0D899">
      <w:pPr>
        <w:spacing w:before="260" w:after="260" w:line="413" w:lineRule="auto"/>
        <w:ind w:firstLine="0"/>
        <w:jc w:val="left"/>
      </w:pPr>
      <w:r>
        <w:rPr>
          <w:rFonts w:hint="eastAsia" w:ascii="Arial" w:hAnsi="Arial" w:eastAsia="黑体"/>
          <w:b/>
          <w:sz w:val="32"/>
          <w:lang w:val="en-US" w:eastAsia="zh-CN"/>
        </w:rPr>
        <w:t>二、市场</w:t>
      </w:r>
    </w:p>
    <w:p w14:paraId="286B1702">
      <w:pPr>
        <w:spacing w:line="360" w:lineRule="auto"/>
        <w:jc w:val="center"/>
      </w:pPr>
      <w:r>
        <w:rPr>
          <w:rFonts w:ascii="Arial" w:hAnsi="Arial" w:eastAsia="黑体"/>
          <w:b/>
          <w:sz w:val="32"/>
        </w:rPr>
        <w:t>上半年中国人形机器人出货量超4万台，全球占比升至97%</w:t>
      </w:r>
    </w:p>
    <w:p w14:paraId="3EDF042D">
      <w:pPr>
        <w:spacing w:line="360" w:lineRule="auto"/>
        <w:ind w:firstLine="576"/>
        <w:jc w:val="left"/>
      </w:pPr>
      <w:r>
        <w:rPr>
          <w:rFonts w:ascii="Times New Roman" w:hAnsi="Times New Roman" w:eastAsia="仿宋"/>
          <w:sz w:val="32"/>
        </w:rPr>
        <w:t>8月20日，《2026年人形机器人产业发展报告》在世界机器人大会上发布。报告显示，2026年上半年中国人形机器人出货量已超过4万台，全球占比提升至97%；国内已形成从关键芯片、核心部组件到整机的完整产业链，行业正从小批量试用加快走向常态化部署和规模化应用。（央视网）</w:t>
      </w:r>
    </w:p>
    <w:p w14:paraId="4A30D542">
      <w:pPr>
        <w:spacing w:line="360" w:lineRule="auto"/>
      </w:pPr>
    </w:p>
    <w:p w14:paraId="0CB0C87A">
      <w:pPr>
        <w:spacing w:line="360" w:lineRule="auto"/>
        <w:jc w:val="center"/>
      </w:pPr>
      <w:r>
        <w:rPr>
          <w:rFonts w:ascii="Arial" w:hAnsi="Arial" w:eastAsia="黑体"/>
          <w:b/>
          <w:sz w:val="32"/>
        </w:rPr>
        <w:t>8月前23天新能源乘用车零售61.4万辆，渗透率64.3%</w:t>
      </w:r>
    </w:p>
    <w:p w14:paraId="5B7810C3">
      <w:pPr>
        <w:spacing w:line="360" w:lineRule="auto"/>
        <w:ind w:firstLine="576"/>
        <w:jc w:val="left"/>
      </w:pPr>
      <w:r>
        <w:rPr>
          <w:rFonts w:ascii="Times New Roman" w:hAnsi="Times New Roman" w:eastAsia="仿宋"/>
          <w:sz w:val="32"/>
        </w:rPr>
        <w:t>8月26日，乘联分会发布数据，8月1—23日全国新能源乘用车市场零售61.4万辆，同比下降12%、较上月同期下降2%，新能源零售渗透率64.3%；同期厂商新能源批发71.4万辆，同比增长5%、较上月同期增长4%，批发渗透率70.5%。终端零售仍承压，厂商批发保持增长。（乘联分会）</w:t>
      </w:r>
    </w:p>
    <w:p w14:paraId="19AE7C5F">
      <w:pPr>
        <w:spacing w:line="360" w:lineRule="auto"/>
      </w:pPr>
    </w:p>
    <w:p w14:paraId="66596D5C">
      <w:pPr>
        <w:spacing w:line="360" w:lineRule="auto"/>
      </w:pPr>
    </w:p>
    <w:p w14:paraId="01982EF3">
      <w:pPr>
        <w:spacing w:line="360" w:lineRule="auto"/>
        <w:jc w:val="center"/>
      </w:pPr>
      <w:r>
        <w:rPr>
          <w:rFonts w:hint="eastAsia" w:ascii="Arial" w:hAnsi="Arial" w:eastAsia="黑体"/>
          <w:b/>
          <w:sz w:val="32"/>
        </w:rPr>
        <w:t>存储器价格上涨推高AI基础设施成本，2027年或占CSP资本开支68%</w:t>
      </w:r>
    </w:p>
    <w:p w14:paraId="03F5C087">
      <w:pPr>
        <w:spacing w:line="360" w:lineRule="auto"/>
        <w:ind w:firstLine="576"/>
        <w:jc w:val="left"/>
        <w:rPr>
          <w:rFonts w:hint="eastAsia" w:eastAsia="仿宋"/>
          <w:lang w:eastAsia="zh-CN"/>
        </w:rPr>
      </w:pPr>
      <w:r>
        <w:rPr>
          <w:rFonts w:hint="eastAsia" w:ascii="Times New Roman" w:hAnsi="Times New Roman" w:eastAsia="仿宋"/>
          <w:sz w:val="32"/>
          <w:lang w:val="en-US" w:eastAsia="zh-CN"/>
        </w:rPr>
        <w:t>8月25日，TrendForce称，全球主要CSP为加快AI基础设施建设，资本支出预计2026年增长98%、2027年再增长50%。受服务器内存、企业级SSD价格上涨及采购需求扩张影响，DRAM与NAND Flash占主要CSP资本支出的比重预计从2026年的47%升至2027年的68%。（TrendForce集邦咨询）</w:t>
      </w:r>
    </w:p>
    <w:p w14:paraId="1F5AEA0F">
      <w:pPr>
        <w:spacing w:line="360" w:lineRule="auto"/>
      </w:pPr>
    </w:p>
    <w:p w14:paraId="2BD96FC9">
      <w:pPr>
        <w:spacing w:before="260" w:after="260" w:line="413" w:lineRule="auto"/>
        <w:ind w:firstLine="0"/>
        <w:jc w:val="left"/>
      </w:pPr>
      <w:r>
        <w:rPr>
          <w:rFonts w:hint="eastAsia" w:ascii="Arial" w:hAnsi="Arial" w:eastAsia="黑体"/>
          <w:b/>
          <w:sz w:val="32"/>
          <w:lang w:val="en-US" w:eastAsia="zh-CN"/>
        </w:rPr>
        <w:t>三、企业</w:t>
      </w:r>
    </w:p>
    <w:p w14:paraId="4848F763">
      <w:pPr>
        <w:spacing w:line="360" w:lineRule="auto"/>
        <w:jc w:val="center"/>
      </w:pPr>
      <w:r>
        <w:rPr>
          <w:rFonts w:ascii="Arial" w:hAnsi="Arial" w:eastAsia="黑体"/>
          <w:b/>
          <w:sz w:val="32"/>
        </w:rPr>
        <w:t>方正科技珠海、重庆及泰国产能项目协同推进</w:t>
      </w:r>
    </w:p>
    <w:p w14:paraId="0A82C8E6">
      <w:pPr>
        <w:spacing w:line="360" w:lineRule="auto"/>
        <w:ind w:firstLine="576"/>
        <w:jc w:val="left"/>
      </w:pPr>
      <w:r>
        <w:rPr>
          <w:rFonts w:ascii="Times New Roman" w:hAnsi="Times New Roman" w:eastAsia="仿宋"/>
          <w:sz w:val="32"/>
        </w:rPr>
        <w:t>8月20日，方正科技半年报显示，珠海人工智能及算力类高密度互连电路板基地已于5月完成主体结构封顶，重庆人工智能扩建项目同步加快建设，泰国基地进入产能提升阶段。公司用于800G及1.6T光模块的PCB已实现批量生产，三地协同提升高端产品交付能力。（方正科技公告）</w:t>
      </w:r>
    </w:p>
    <w:p w14:paraId="222F14EC">
      <w:pPr>
        <w:spacing w:line="360" w:lineRule="auto"/>
      </w:pPr>
    </w:p>
    <w:p w14:paraId="54DBED58">
      <w:pPr>
        <w:spacing w:line="360" w:lineRule="auto"/>
        <w:jc w:val="center"/>
      </w:pPr>
      <w:r>
        <w:rPr>
          <w:rFonts w:ascii="Arial" w:hAnsi="Arial" w:eastAsia="黑体"/>
          <w:b/>
          <w:sz w:val="32"/>
        </w:rPr>
        <w:t>景旺电子拟投43.88亿元建设超高多层PCB项目</w:t>
      </w:r>
    </w:p>
    <w:p w14:paraId="3F5DB8FF">
      <w:pPr>
        <w:spacing w:line="360" w:lineRule="auto"/>
        <w:ind w:firstLine="576"/>
        <w:jc w:val="left"/>
      </w:pPr>
      <w:r>
        <w:rPr>
          <w:rFonts w:ascii="Times New Roman" w:hAnsi="Times New Roman" w:eastAsia="仿宋"/>
          <w:sz w:val="32"/>
        </w:rPr>
        <w:t>8月22日，景旺电子公告，拟将珠海金湾基地原关键工序产能强化项目变更为超高多层PCB智能制造项目，预计总投资43.88亿元。项目将在储备用地新建厂房并引进先进设备，扩充高端高速超高多层PCB产能，重点服务AI算力、高速网络通信和汽车智驾等领域；事项尚需提交股东会审议。（景旺电子公告）</w:t>
      </w:r>
    </w:p>
    <w:p w14:paraId="5506A226">
      <w:pPr>
        <w:spacing w:line="360" w:lineRule="auto"/>
      </w:pPr>
    </w:p>
    <w:p w14:paraId="7A35894A">
      <w:pPr>
        <w:spacing w:line="360" w:lineRule="auto"/>
        <w:jc w:val="center"/>
      </w:pPr>
      <w:r>
        <w:rPr>
          <w:rFonts w:ascii="Arial" w:hAnsi="Arial" w:eastAsia="黑体"/>
          <w:b/>
          <w:sz w:val="32"/>
        </w:rPr>
        <w:t>宏昌电子8万吨电子级环氧树脂项目正式投产</w:t>
      </w:r>
    </w:p>
    <w:p w14:paraId="3EEFF594">
      <w:pPr>
        <w:spacing w:line="360" w:lineRule="auto"/>
        <w:ind w:firstLine="576"/>
        <w:jc w:val="left"/>
      </w:pPr>
      <w:r>
        <w:rPr>
          <w:rFonts w:ascii="Times New Roman" w:hAnsi="Times New Roman" w:eastAsia="仿宋"/>
          <w:sz w:val="32"/>
        </w:rPr>
        <w:t>8月22日，宏昌电子半年报披露，珠海宏昌年产8万吨电子级功能性环氧树脂项目已完成试生产并于8月21日投入正式生产。公司同时推进总投资约6000万元的半导体级功能性树脂膜材项目，规划年产172.8万平方米ABF载板用增层膜材；已建成的功能性高阶覆铜板项目正逐步释放产能。（宏昌电子公告）</w:t>
      </w:r>
    </w:p>
    <w:p w14:paraId="13A1F078">
      <w:pPr>
        <w:spacing w:line="360" w:lineRule="auto"/>
      </w:pPr>
    </w:p>
    <w:p w14:paraId="30D26102">
      <w:pPr>
        <w:spacing w:line="360" w:lineRule="auto"/>
        <w:jc w:val="center"/>
      </w:pPr>
      <w:r>
        <w:rPr>
          <w:rFonts w:ascii="Arial" w:hAnsi="Arial" w:eastAsia="黑体"/>
          <w:b/>
          <w:sz w:val="32"/>
        </w:rPr>
        <w:t>中钨高新PCB微钻与钻针棒扩产项目加快落地</w:t>
      </w:r>
    </w:p>
    <w:p w14:paraId="23003CC9">
      <w:pPr>
        <w:spacing w:line="360" w:lineRule="auto"/>
        <w:ind w:firstLine="576"/>
        <w:jc w:val="left"/>
      </w:pPr>
      <w:r>
        <w:rPr>
          <w:rFonts w:ascii="Times New Roman" w:hAnsi="Times New Roman" w:eastAsia="仿宋"/>
          <w:sz w:val="32"/>
        </w:rPr>
        <w:t>8月25日，中钨高新披露，旗下金洲公司自2025年下半年投入6个扩产项目，预计新增近8亿支微钻产能，其中1.4亿支和1.3亿支项目已分别于今年3月、6月达产。株硬公司3000万支PCB钻针棒技改项目计划下半年达产，以提升刀具棒材自主供应和国产替代能力。（中钨高新公告）</w:t>
      </w:r>
    </w:p>
    <w:p w14:paraId="7CCE28BB">
      <w:pPr>
        <w:spacing w:line="360" w:lineRule="auto"/>
      </w:pPr>
    </w:p>
    <w:p w14:paraId="7AD78662">
      <w:pPr>
        <w:spacing w:line="360" w:lineRule="auto"/>
        <w:ind w:firstLine="576"/>
        <w:jc w:val="left"/>
        <w:rPr>
          <w:rFonts w:hint="eastAsia" w:ascii="Arial" w:hAnsi="Arial" w:eastAsia="黑体"/>
          <w:b/>
          <w:sz w:val="32"/>
        </w:rPr>
      </w:pPr>
      <w:r>
        <w:rPr>
          <w:rFonts w:hint="eastAsia" w:ascii="Arial" w:hAnsi="Arial" w:eastAsia="黑体"/>
          <w:b/>
          <w:sz w:val="32"/>
        </w:rPr>
        <w:t>民爆光电并表厦芝精密，高端钻针产能继续扩充</w:t>
      </w:r>
    </w:p>
    <w:p w14:paraId="554F2EE1">
      <w:pPr>
        <w:spacing w:line="360" w:lineRule="auto"/>
        <w:ind w:firstLine="576"/>
        <w:jc w:val="left"/>
        <w:rPr>
          <w:rFonts w:hint="default" w:ascii="Times New Roman" w:hAnsi="Times New Roman" w:eastAsia="仿宋"/>
          <w:sz w:val="32"/>
          <w:lang w:val="en-US" w:eastAsia="zh-CN"/>
        </w:rPr>
      </w:pPr>
      <w:r>
        <w:rPr>
          <w:rFonts w:hint="eastAsia" w:ascii="Times New Roman" w:hAnsi="Times New Roman" w:eastAsia="仿宋"/>
          <w:sz w:val="32"/>
        </w:rPr>
        <w:t>8月25日，民爆光电披露收购厦芝精密51%股权后的首份并表半年报。厦芝精密5—6月实现营业收入1.04亿元、归母净利润1640万元；0.2毫米以下极小径及50倍径以上高长径比钻针已批量供货，可适配M9板材。其月产能已由4月的1500万支增至2000万支，预计年底突破4000万支。（民爆光电公告）</w:t>
      </w:r>
    </w:p>
    <w:p w14:paraId="21927C11">
      <w:pPr>
        <w:spacing w:line="360" w:lineRule="auto"/>
        <w:jc w:val="left"/>
        <w:rPr>
          <w:rFonts w:hint="eastAsia" w:ascii="Times New Roman" w:hAnsi="Times New Roman" w:eastAsia="仿宋"/>
          <w:sz w:val="32"/>
        </w:rPr>
      </w:pPr>
    </w:p>
    <w:p w14:paraId="2BD43F3A">
      <w:pPr>
        <w:spacing w:line="360" w:lineRule="auto"/>
        <w:jc w:val="center"/>
        <w:rPr>
          <w:rFonts w:hint="eastAsia"/>
        </w:rPr>
      </w:pPr>
      <w:r>
        <w:rPr>
          <w:rFonts w:hint="eastAsia" w:ascii="Arial" w:hAnsi="Arial" w:eastAsia="黑体"/>
          <w:b/>
          <w:sz w:val="32"/>
        </w:rPr>
        <w:t>沪电股份优化55亿元高端PCB项目实施规划</w:t>
      </w:r>
    </w:p>
    <w:p w14:paraId="76DA8B00">
      <w:pPr>
        <w:spacing w:line="360" w:lineRule="auto"/>
        <w:ind w:firstLine="576"/>
        <w:jc w:val="left"/>
        <w:rPr>
          <w:rFonts w:hint="eastAsia" w:ascii="Times New Roman" w:hAnsi="Times New Roman" w:eastAsia="仿宋"/>
          <w:sz w:val="32"/>
        </w:rPr>
      </w:pPr>
      <w:r>
        <w:rPr>
          <w:rFonts w:hint="eastAsia" w:ascii="Times New Roman" w:hAnsi="Times New Roman" w:eastAsia="仿宋"/>
          <w:sz w:val="32"/>
        </w:rPr>
        <w:t>8月26日，沪电股份公告调整总投资约55亿元的新建印制电路板生产项目及配套设施实施规划：因原二期用地交付进度变化，将二期建设内容转至三期用地，并取消自建工业污水处理厂，项目总投资保持不变。该项目面向高层数、高频高速、高密度互连及高通流PCB，重点满足AI服务器和高速网络交换机需求。（沪电股份公告）</w:t>
      </w:r>
    </w:p>
    <w:p w14:paraId="0FF45672">
      <w:pPr>
        <w:spacing w:line="360" w:lineRule="auto"/>
        <w:jc w:val="left"/>
        <w:rPr>
          <w:rFonts w:hint="eastAsia" w:ascii="Times New Roman" w:hAnsi="Times New Roman" w:eastAsia="仿宋"/>
          <w:sz w:val="32"/>
        </w:rPr>
      </w:pPr>
    </w:p>
    <w:p w14:paraId="542FB143">
      <w:pPr>
        <w:spacing w:line="360" w:lineRule="auto"/>
        <w:jc w:val="center"/>
        <w:rPr>
          <w:rFonts w:hint="eastAsia"/>
        </w:rPr>
      </w:pPr>
      <w:r>
        <w:rPr>
          <w:rFonts w:hint="eastAsia" w:ascii="Arial" w:hAnsi="Arial" w:eastAsia="黑体"/>
          <w:b/>
          <w:sz w:val="32"/>
        </w:rPr>
        <w:t>嘉立创发布上市后首份半年报，PCB与PCBA业务同步增长</w:t>
      </w:r>
      <w:r>
        <w:rPr>
          <w:rFonts w:hint="eastAsia" w:ascii="Arial" w:hAnsi="Arial" w:eastAsia="黑体"/>
          <w:b/>
          <w:sz w:val="32"/>
          <w:lang w:eastAsia="zh-CN"/>
        </w:rPr>
        <w:t/>
      </w:r>
      <w:r>
        <w:rPr>
          <w:rFonts w:hint="eastAsia" w:ascii="Arial" w:hAnsi="Arial" w:eastAsia="黑体"/>
          <w:b/>
          <w:sz w:val="32"/>
        </w:rPr>
        <w:t/>
      </w:r>
    </w:p>
    <w:p w14:paraId="144A402C">
      <w:pPr>
        <w:spacing w:line="360" w:lineRule="auto"/>
        <w:ind w:firstLine="576"/>
        <w:jc w:val="left"/>
        <w:rPr>
          <w:rFonts w:hint="default" w:ascii="Times New Roman" w:hAnsi="Times New Roman" w:eastAsia="仿宋"/>
          <w:sz w:val="32"/>
          <w:lang w:val="en-US" w:eastAsia="zh-CN"/>
        </w:rPr>
      </w:pPr>
      <w:r>
        <w:rPr>
          <w:rFonts w:hint="eastAsia" w:ascii="Times New Roman" w:hAnsi="Times New Roman" w:eastAsia="仿宋"/>
          <w:sz w:val="32"/>
        </w:rPr>
        <w:t>8月26日，嘉立创发布上市后首份半年报。上半年电子产业链业务收入65.56亿元，同比增长51.61%；其中PCB业务收入24.74亿元，增长35.90%，电子装联业务收入12.02亿元，增长52.17%。PCBA付费用户渗透率由上年同期的16.83%升至18.60%，带动PCB收入增加近3亿元。（嘉立创公告）</w:t>
      </w:r>
      <w:bookmarkStart w:id="0" w:name="_GoBack"/>
      <w:bookmarkEnd w:id="0"/>
      <w:r>
        <w:rPr>
          <w:rFonts w:hint="eastAsia" w:ascii="Times New Roman" w:hAnsi="Times New Roman" w:eastAsia="仿宋"/>
          <w:sz w:val="32"/>
        </w:rPr>
        <w:t/>
      </w:r>
      <w:r>
        <w:rPr>
          <w:rFonts w:hint="eastAsia" w:ascii="Times New Roman" w:hAnsi="Times New Roman" w:eastAsia="仿宋"/>
          <w:sz w:val="32"/>
          <w:lang w:eastAsia="zh-CN"/>
        </w:rPr>
        <w:t/>
      </w:r>
      <w:r>
        <w:rPr>
          <w:rFonts w:hint="eastAsia" w:ascii="Times New Roman" w:hAnsi="Times New Roman" w:eastAsia="仿宋"/>
          <w:sz w:val="32"/>
        </w:rPr>
        <w:t/>
      </w:r>
      <w:r>
        <w:rPr>
          <w:rFonts w:hint="eastAsia" w:ascii="Times New Roman" w:hAnsi="Times New Roman" w:eastAsia="仿宋"/>
          <w:sz w:val="32"/>
          <w:lang w:val="en-US" w:eastAsia="zh-CN"/>
        </w:rPr>
        <w:t/>
      </w:r>
      <w:r>
        <w:rPr>
          <w:rFonts w:hint="eastAsia" w:ascii="Times New Roman" w:hAnsi="Times New Roman" w:eastAsia="仿宋"/>
          <w:sz w:val="32"/>
        </w:rPr>
        <w:t/>
      </w:r>
    </w:p>
    <w:p w14:paraId="509F01DF">
      <w:pPr>
        <w:spacing w:line="360" w:lineRule="auto"/>
        <w:ind w:firstLine="576"/>
        <w:jc w:val="left"/>
        <w:rPr>
          <w:rFonts w:hint="default" w:ascii="Times New Roman" w:hAnsi="Times New Roman" w:eastAsia="仿宋"/>
          <w:sz w:val="32"/>
          <w:lang w:val="en-US" w:eastAsia="zh-CN"/>
        </w:rPr>
      </w:pPr>
    </w:p>
    <w:p w14:paraId="46DBC002">
      <w:pPr>
        <w:spacing w:line="360" w:lineRule="auto"/>
        <w:jc w:val="left"/>
        <w:rPr>
          <w:rFonts w:hint="eastAsia" w:ascii="Times New Roman" w:hAnsi="Times New Roman" w:eastAsia="仿宋"/>
          <w:sz w:val="32"/>
        </w:rPr>
      </w:pPr>
    </w:p>
    <w:p w14:paraId="5BFEFDA5">
      <w:pPr>
        <w:spacing w:line="360" w:lineRule="auto"/>
        <w:jc w:val="right"/>
      </w:pPr>
      <w:r>
        <w:rPr>
          <w:rFonts w:ascii="Arial" w:hAnsi="Arial" w:eastAsia="黑体"/>
          <w:b/>
          <w:sz w:val="32"/>
        </w:rPr>
        <w:t>更多精彩内容请扫描下方二维码，关注CPCA服务号</w:t>
      </w:r>
    </w:p>
    <w:p w14:paraId="6A4A3C9A">
      <w:pPr>
        <w:spacing w:line="360" w:lineRule="auto"/>
        <w:jc w:val="right"/>
      </w:pPr>
      <w:r>
        <w:rPr>
          <w:rFonts w:ascii="Times New Roman" w:hAnsi="Times New Roman" w:eastAsia="仿宋"/>
          <w:sz w:val="32"/>
        </w:rPr>
        <w:t>撰稿人：张国旗</w:t>
      </w:r>
    </w:p>
    <w:p w14:paraId="5B639555">
      <w:pPr>
        <w:spacing w:line="360" w:lineRule="auto"/>
        <w:jc w:val="right"/>
      </w:pPr>
      <w:r>
        <w:rPr>
          <w:rFonts w:ascii="华文仿宋" w:hAnsi="华文仿宋" w:eastAsia="华文仿宋"/>
          <w:sz w:val="28"/>
        </w:rPr>
        <w:t>审核：张运</w:t>
      </w:r>
    </w:p>
    <w:p w14:paraId="044B3D61">
      <w:pPr>
        <w:widowControl w:val="0"/>
        <w:bidi w:val="0"/>
        <w:spacing w:line="240" w:lineRule="auto"/>
        <w:ind w:left="0" w:leftChars="0" w:firstLine="0" w:firstLineChars="0"/>
        <w:jc w:val="right"/>
        <w:rPr>
          <w:rFonts w:hint="default" w:ascii="Times New Roman" w:hAnsi="Times New Roman" w:eastAsia="仿宋" w:cs="Times New Roman"/>
          <w:sz w:val="32"/>
          <w:szCs w:val="24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24"/>
        </w:rPr>
        <w:drawing>
          <wp:inline distT="0" distB="0" distL="114300" distR="114300">
            <wp:extent cx="1187450" cy="1168400"/>
            <wp:effectExtent l="0" t="0" r="6350" b="0"/>
            <wp:docPr id="3" name="图片 10" descr="Image: 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0" descr="Image: image2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8745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ACD8E">
      <w:r>
        <w:rPr>
          <w:rFonts w:hint="default" w:ascii="Times New Roman" w:hAnsi="Times New Roman" w:eastAsia="仿宋" w:cs="Times New Roman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3675" cy="3503295"/>
            <wp:effectExtent l="0" t="0" r="9525" b="1905"/>
            <wp:docPr id="2" name="图片 2" descr="467b3544aa10c7b69a0d3f65ce8dd4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67b3544aa10c7b69a0d3f65ce8dd4d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0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pgSz w:w="11906" w:h="16838"/>
      <w:pgMar w:top="156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F4FE4">
    <w:pPr>
      <w:pStyle w:val="4"/>
      <w:pBdr>
        <w:bottom w:val="none" w:color="auto" w:sz="0" w:space="0"/>
      </w:pBdr>
      <w:jc w:val="both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69215</wp:posOffset>
          </wp:positionV>
          <wp:extent cx="6782435" cy="513080"/>
          <wp:effectExtent l="0" t="0" r="0" b="1270"/>
          <wp:wrapTight wrapText="bothSides">
            <wp:wrapPolygon>
              <wp:start x="15713" y="0"/>
              <wp:lineTo x="0" y="0"/>
              <wp:lineTo x="0" y="18446"/>
              <wp:lineTo x="5703" y="20851"/>
              <wp:lineTo x="21477" y="20851"/>
              <wp:lineTo x="21477" y="17644"/>
              <wp:lineTo x="20203" y="13634"/>
              <wp:lineTo x="19232" y="12832"/>
              <wp:lineTo x="21355" y="8822"/>
              <wp:lineTo x="21477" y="4812"/>
              <wp:lineTo x="20809" y="0"/>
              <wp:lineTo x="15713" y="0"/>
            </wp:wrapPolygon>
          </wp:wrapTight>
          <wp:docPr id="1" name="图片 1" descr="C:\Users\Administrator\Desktop\未标题-1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C:\Users\Administrator\Desktop\未标题-1.w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82585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A87"/>
    <w:rsid w:val="00065C06"/>
    <w:rsid w:val="0035113B"/>
    <w:rsid w:val="003A66A4"/>
    <w:rsid w:val="004F2A87"/>
    <w:rsid w:val="006B3D1E"/>
    <w:rsid w:val="007065AE"/>
    <w:rsid w:val="0073199B"/>
    <w:rsid w:val="007456A0"/>
    <w:rsid w:val="008355BB"/>
    <w:rsid w:val="009014D3"/>
    <w:rsid w:val="00C372FC"/>
    <w:rsid w:val="00D65DCA"/>
    <w:rsid w:val="00E70812"/>
    <w:rsid w:val="00F70C01"/>
    <w:rsid w:val="00FF5190"/>
    <w:rsid w:val="045F663E"/>
    <w:rsid w:val="06B47FC9"/>
    <w:rsid w:val="071C1AB9"/>
    <w:rsid w:val="07221569"/>
    <w:rsid w:val="07DD40F6"/>
    <w:rsid w:val="083B7C49"/>
    <w:rsid w:val="0CB1267E"/>
    <w:rsid w:val="0E0A67C5"/>
    <w:rsid w:val="0E220FBD"/>
    <w:rsid w:val="0E73679E"/>
    <w:rsid w:val="0FA436B7"/>
    <w:rsid w:val="0FAD6545"/>
    <w:rsid w:val="0FC0235B"/>
    <w:rsid w:val="0FCC54B4"/>
    <w:rsid w:val="10CF4D8A"/>
    <w:rsid w:val="13A55F62"/>
    <w:rsid w:val="164B0998"/>
    <w:rsid w:val="16E96798"/>
    <w:rsid w:val="18700773"/>
    <w:rsid w:val="1CDA2E0B"/>
    <w:rsid w:val="21A55BAC"/>
    <w:rsid w:val="21A60DC4"/>
    <w:rsid w:val="225C17EC"/>
    <w:rsid w:val="236405A0"/>
    <w:rsid w:val="25AF1BE4"/>
    <w:rsid w:val="25B55B0A"/>
    <w:rsid w:val="25EE16C9"/>
    <w:rsid w:val="264A2919"/>
    <w:rsid w:val="266175BF"/>
    <w:rsid w:val="27003495"/>
    <w:rsid w:val="28C049EA"/>
    <w:rsid w:val="29163431"/>
    <w:rsid w:val="29EF0897"/>
    <w:rsid w:val="2B767FBE"/>
    <w:rsid w:val="2BF15CE7"/>
    <w:rsid w:val="2D364384"/>
    <w:rsid w:val="2DC669A6"/>
    <w:rsid w:val="2E4775E3"/>
    <w:rsid w:val="2EDE3EE6"/>
    <w:rsid w:val="315179C6"/>
    <w:rsid w:val="33274995"/>
    <w:rsid w:val="33A475BE"/>
    <w:rsid w:val="33C137F8"/>
    <w:rsid w:val="369A381C"/>
    <w:rsid w:val="36ED7D2B"/>
    <w:rsid w:val="37CF5FD6"/>
    <w:rsid w:val="381216B5"/>
    <w:rsid w:val="38AD19AF"/>
    <w:rsid w:val="39431EEE"/>
    <w:rsid w:val="39F27144"/>
    <w:rsid w:val="3A522D3D"/>
    <w:rsid w:val="3A6D2312"/>
    <w:rsid w:val="3ACF3611"/>
    <w:rsid w:val="3B265F2E"/>
    <w:rsid w:val="3B766568"/>
    <w:rsid w:val="3ED15FEF"/>
    <w:rsid w:val="3EDF266A"/>
    <w:rsid w:val="3F233925"/>
    <w:rsid w:val="3FDD3C4F"/>
    <w:rsid w:val="40297E1C"/>
    <w:rsid w:val="44BD69EB"/>
    <w:rsid w:val="456055DE"/>
    <w:rsid w:val="45F31C63"/>
    <w:rsid w:val="45FD6761"/>
    <w:rsid w:val="461343DB"/>
    <w:rsid w:val="496A4B8E"/>
    <w:rsid w:val="4ABF4154"/>
    <w:rsid w:val="4B4134FD"/>
    <w:rsid w:val="4B543446"/>
    <w:rsid w:val="4E4364C2"/>
    <w:rsid w:val="50EA418D"/>
    <w:rsid w:val="510C0237"/>
    <w:rsid w:val="521E7BC5"/>
    <w:rsid w:val="52762767"/>
    <w:rsid w:val="52793D86"/>
    <w:rsid w:val="536C7C6B"/>
    <w:rsid w:val="53A662DF"/>
    <w:rsid w:val="53AD3873"/>
    <w:rsid w:val="53CF538E"/>
    <w:rsid w:val="557B2A48"/>
    <w:rsid w:val="55DB0099"/>
    <w:rsid w:val="57F01B04"/>
    <w:rsid w:val="596C1A28"/>
    <w:rsid w:val="59E7637A"/>
    <w:rsid w:val="59EE1099"/>
    <w:rsid w:val="5CF95551"/>
    <w:rsid w:val="5D9615A2"/>
    <w:rsid w:val="61863437"/>
    <w:rsid w:val="61E21505"/>
    <w:rsid w:val="624D40D3"/>
    <w:rsid w:val="62E354DE"/>
    <w:rsid w:val="632528C9"/>
    <w:rsid w:val="642D34F2"/>
    <w:rsid w:val="64592EAE"/>
    <w:rsid w:val="65326415"/>
    <w:rsid w:val="65605C5F"/>
    <w:rsid w:val="65AE7F5D"/>
    <w:rsid w:val="65FB0E53"/>
    <w:rsid w:val="66452A5A"/>
    <w:rsid w:val="66C33328"/>
    <w:rsid w:val="678149E0"/>
    <w:rsid w:val="68BE0B64"/>
    <w:rsid w:val="68D47E6F"/>
    <w:rsid w:val="691A127E"/>
    <w:rsid w:val="692244D0"/>
    <w:rsid w:val="6968585F"/>
    <w:rsid w:val="6A19339F"/>
    <w:rsid w:val="6BCE176C"/>
    <w:rsid w:val="6D07449C"/>
    <w:rsid w:val="6D8365BD"/>
    <w:rsid w:val="6E2A4350"/>
    <w:rsid w:val="6E3E1339"/>
    <w:rsid w:val="6E6D657F"/>
    <w:rsid w:val="6EC32276"/>
    <w:rsid w:val="6F0F1346"/>
    <w:rsid w:val="6F57027E"/>
    <w:rsid w:val="6F7810F5"/>
    <w:rsid w:val="71313AC1"/>
    <w:rsid w:val="72DB7A02"/>
    <w:rsid w:val="72DE08AE"/>
    <w:rsid w:val="72EE6ECA"/>
    <w:rsid w:val="73A51C06"/>
    <w:rsid w:val="752B4467"/>
    <w:rsid w:val="772054B7"/>
    <w:rsid w:val="77B64349"/>
    <w:rsid w:val="78404F59"/>
    <w:rsid w:val="78D0113A"/>
    <w:rsid w:val="79120DC0"/>
    <w:rsid w:val="7B086666"/>
    <w:rsid w:val="7B870239"/>
    <w:rsid w:val="7C007CD6"/>
    <w:rsid w:val="7C6C3669"/>
    <w:rsid w:val="7CFB2380"/>
    <w:rsid w:val="7DC1685E"/>
    <w:rsid w:val="7E4839B7"/>
    <w:rsid w:val="7E9D64A0"/>
    <w:rsid w:val="7F726CC2"/>
    <w:rsid w:val="7FC7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1973</Words>
  <Characters>2193</Characters>
  <Lines>0</Lines>
  <Paragraphs>0</Paragraphs>
  <TotalTime>1107</TotalTime>
  <ScaleCrop>false</ScaleCrop>
  <LinksUpToDate>false</LinksUpToDate>
  <CharactersWithSpaces>2237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2021-09-23T01:41:00Z</dcterms:created>
  <dc:creator>A</dc:creator>
  <cp:keywords>CPCA, PCB, 每周资讯, 第146期, 宏观, 终端, 企业</cp:keywords>
  <cp:lastModifiedBy>朕已阅</cp:lastModifiedBy>
  <cp:lastPrinted>2021-09-23T03:57:00Z</cp:lastPrinted>
  <dcterms:modified xsi:type="dcterms:W3CDTF">2026-08-20T05:48:50Z</dcterms:modified>
  <dc:subject>2026年8月6日至8月12日PCB行业每周资讯</dc:subject>
  <dc:title>CPCA146最终版期每周资讯热点报告（更新版）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eyJoZGlkIjoiZWFlNjQ3NDIwZDEwN2RkZjI5ZmVhOGI2NjVlYTBkMTciLCJ1c2VySWQiOiIxMzgyMTM1ODU2In0=</vt:lpwstr>
  </property>
  <property fmtid="{D5CDD505-2E9C-101B-9397-08002B2CF9AE}" pid="3" name="KSOProductBuildVer">
    <vt:lpwstr>2052-12.1.0.28043</vt:lpwstr>
  </property>
  <property fmtid="{D5CDD505-2E9C-101B-9397-08002B2CF9AE}" pid="4" name="ICV">
    <vt:lpwstr>475234387207408695256EAD167E8E62_13</vt:lpwstr>
  </property>
</Properties>
</file>