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8F6A1A">
      <w:pPr>
        <w:spacing w:line="360" w:lineRule="auto"/>
        <w:jc w:val="both"/>
      </w:pPr>
    </w:p>
    <w:p w14:paraId="287E5B25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hint="default" w:ascii="Times New Roman" w:hAnsi="Times New Roman" w:eastAsia="仿宋" w:cs="Times New Roman"/>
          <w:color w:val="04AC5C"/>
          <w:sz w:val="32"/>
          <w:szCs w:val="24"/>
          <w:lang w:val="en-US"/>
        </w:rPr>
      </w:pPr>
      <w:r>
        <w:rPr>
          <w:rFonts w:hint="eastAsia" w:ascii="华文楷体" w:hAnsi="华文楷体" w:eastAsia="华文楷体" w:cs="华文楷体"/>
          <w:b/>
          <w:bCs/>
          <w:snapToGrid w:val="0"/>
          <w:color w:val="04AC5C"/>
          <w:kern w:val="0"/>
          <w:sz w:val="28"/>
          <w:szCs w:val="28"/>
          <w:lang w:val="en-US" w:eastAsia="zh-CN" w:bidi="ar"/>
        </w:rPr>
        <w:t>第150期</w:t>
      </w:r>
    </w:p>
    <w:p w14:paraId="62D56D6D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default" w:ascii="Arial" w:hAnsi="Times New Roman" w:eastAsia="仿宋" w:cs="Times New Roman"/>
          <w:color w:val="04AC5C"/>
          <w:sz w:val="21"/>
          <w:szCs w:val="24"/>
          <w:lang w:val="en-US"/>
        </w:rPr>
      </w:pPr>
      <w:r>
        <w:rPr>
          <w:rFonts w:ascii="华文楷体" w:hAnsi="华文楷体" w:eastAsia="华文楷体" w:cs="华文楷体"/>
          <w:b/>
          <w:bCs/>
          <w:snapToGrid w:val="0"/>
          <w:color w:val="04AC5C"/>
          <w:kern w:val="0"/>
          <w:sz w:val="28"/>
          <w:szCs w:val="28"/>
          <w:u w:val="single" w:color="auto"/>
          <w:lang w:val="en-US" w:eastAsia="zh-CN" w:bidi="ar"/>
        </w:rPr>
        <w:t>信息部                                            2026年9月</w:t>
      </w:r>
    </w:p>
    <w:p w14:paraId="6201E98D">
      <w:pPr>
        <w:spacing w:before="260" w:after="260" w:line="413" w:lineRule="auto"/>
        <w:jc w:val="left"/>
        <w:rPr>
          <w:rFonts w:hint="default" w:eastAsia="黑体"/>
          <w:lang w:val="en-US" w:eastAsia="zh-CN"/>
        </w:rPr>
      </w:pPr>
      <w:r>
        <w:rPr>
          <w:rFonts w:ascii="Arial" w:hAnsi="Arial" w:eastAsia="黑体"/>
          <w:b/>
          <w:sz w:val="32"/>
        </w:rPr>
        <w:t>每周资讯|电子信息制造业</w:t>
      </w:r>
      <w:bookmarkStart w:id="0" w:name="_GoBack"/>
      <w:bookmarkEnd w:id="0"/>
      <w:r>
        <w:rPr>
          <w:rFonts w:ascii="Arial" w:hAnsi="Arial" w:eastAsia="黑体"/>
          <w:b/>
          <w:sz w:val="32"/>
        </w:rPr>
        <w:t>“十五五”规划提出规上企业营收突破30万亿元</w:t>
      </w:r>
      <w:r>
        <w:rPr>
          <w:rFonts w:hint="eastAsia" w:ascii="Arial" w:hAnsi="Arial" w:eastAsia="黑体"/>
          <w:b/>
          <w:sz w:val="32"/>
          <w:lang w:val="en-US" w:eastAsia="zh-CN"/>
        </w:rPr>
        <w:t>目标</w:t>
      </w:r>
      <w:r>
        <w:rPr>
          <w:rFonts w:ascii="Arial" w:hAnsi="Arial" w:eastAsia="黑体"/>
          <w:b/>
          <w:sz w:val="32"/>
        </w:rPr>
        <w:t>；</w:t>
      </w:r>
      <w:r>
        <w:rPr>
          <w:rFonts w:hint="eastAsia" w:ascii="Arial" w:hAnsi="Arial" w:eastAsia="黑体"/>
          <w:b/>
          <w:sz w:val="32"/>
        </w:rPr>
        <w:t>8月规模以上工业增加值增5.2%</w:t>
      </w:r>
      <w:r>
        <w:rPr>
          <w:rFonts w:ascii="Arial" w:hAnsi="Arial" w:eastAsia="黑体"/>
          <w:b/>
          <w:sz w:val="32"/>
        </w:rPr>
        <w:t>；</w:t>
      </w:r>
      <w:r>
        <w:rPr>
          <w:rFonts w:hint="eastAsia" w:ascii="Arial" w:hAnsi="Arial" w:eastAsia="黑体"/>
          <w:b/>
          <w:sz w:val="32"/>
        </w:rPr>
        <w:t>鼎泰高科拟7亿投建高端电子材料产能</w:t>
      </w:r>
    </w:p>
    <w:p w14:paraId="68D49C2D">
      <w:pPr>
        <w:spacing w:before="260" w:after="260" w:line="413" w:lineRule="auto"/>
        <w:ind w:firstLine="0"/>
        <w:jc w:val="left"/>
      </w:pPr>
      <w:r>
        <w:rPr>
          <w:rFonts w:hint="eastAsia" w:ascii="Arial" w:hAnsi="Arial" w:eastAsia="黑体"/>
          <w:b/>
          <w:sz w:val="32"/>
          <w:lang w:val="en-US" w:eastAsia="zh-CN"/>
        </w:rPr>
        <w:t>一、行业</w:t>
      </w:r>
    </w:p>
    <w:p w14:paraId="390C3771">
      <w:pPr>
        <w:spacing w:line="360" w:lineRule="auto"/>
        <w:jc w:val="center"/>
      </w:pPr>
      <w:r>
        <w:rPr>
          <w:rFonts w:ascii="Arial" w:hAnsi="Arial" w:eastAsia="黑体"/>
          <w:b/>
          <w:sz w:val="32"/>
        </w:rPr>
        <w:t>电子信息制造业“十五五”规划发布，2030年营收目标超30万亿元</w:t>
      </w:r>
    </w:p>
    <w:p w14:paraId="45A10AB3">
      <w:pPr>
        <w:spacing w:line="360" w:lineRule="auto"/>
        <w:ind w:firstLine="576"/>
        <w:jc w:val="left"/>
      </w:pPr>
      <w:r>
        <w:rPr>
          <w:rFonts w:ascii="Times New Roman" w:hAnsi="Times New Roman" w:eastAsia="仿宋"/>
          <w:sz w:val="32"/>
        </w:rPr>
        <w:t>9月15日，工业和信息化部、国家发展改革委发布《电子信息制造业发展“十五五”规划》。规划提出，到2030年规模以上电子信息制造业企业营业收入突破30万亿元，研发投入强度达到3.5%，重点推进集成电路、先进计算、消费电子、基础电子和能源电子等领域发展。（工业和信息化部）</w:t>
      </w:r>
    </w:p>
    <w:p w14:paraId="3FEA3A32">
      <w:pPr>
        <w:spacing w:line="360" w:lineRule="auto"/>
      </w:pPr>
    </w:p>
    <w:p w14:paraId="0B73890A">
      <w:pPr>
        <w:spacing w:line="360" w:lineRule="auto"/>
        <w:jc w:val="center"/>
      </w:pPr>
      <w:r>
        <w:rPr>
          <w:rFonts w:ascii="Arial" w:hAnsi="Arial" w:eastAsia="黑体"/>
          <w:b/>
          <w:sz w:val="32"/>
        </w:rPr>
        <w:t>8月规模以上工业增加值增长5.2%，电子设备制造业增长17.2%</w:t>
      </w:r>
    </w:p>
    <w:p w14:paraId="5F0E5B6D">
      <w:pPr>
        <w:spacing w:line="360" w:lineRule="auto"/>
        <w:ind w:firstLine="576"/>
        <w:jc w:val="left"/>
      </w:pPr>
      <w:r>
        <w:rPr>
          <w:rFonts w:ascii="Times New Roman" w:hAnsi="Times New Roman" w:eastAsia="仿宋"/>
          <w:sz w:val="32"/>
        </w:rPr>
        <w:t>9月15日，国家统计局发布8月国民经济数据。全国规模以上工业增加值同比增长5.2%，比7月加快0.7个百分点；其中装备制造业增长12.1%，高技术制造业增长16.7%，计算机、通信和其他电子设备制造业增长17.2%。（国家统计局）</w:t>
      </w:r>
    </w:p>
    <w:p w14:paraId="69AD47F4">
      <w:pPr>
        <w:spacing w:line="360" w:lineRule="auto"/>
      </w:pPr>
    </w:p>
    <w:p w14:paraId="6DBA7856">
      <w:pPr>
        <w:spacing w:line="360" w:lineRule="auto"/>
        <w:jc w:val="center"/>
      </w:pPr>
      <w:r>
        <w:rPr>
          <w:rFonts w:hint="eastAsia" w:ascii="Arial" w:hAnsi="Arial" w:eastAsia="黑体"/>
          <w:b/>
          <w:sz w:val="32"/>
        </w:rPr>
        <w:t>美联储三年来首次加息，联邦基金利率升至3.75%至4%</w:t>
      </w:r>
    </w:p>
    <w:p w14:paraId="3CF9EE47">
      <w:pPr>
        <w:spacing w:line="360" w:lineRule="auto"/>
        <w:ind w:firstLine="576"/>
        <w:jc w:val="left"/>
        <w:rPr>
          <w:rFonts w:hint="eastAsia" w:ascii="Times New Roman" w:hAnsi="Times New Roman" w:eastAsia="仿宋"/>
          <w:sz w:val="32"/>
        </w:rPr>
      </w:pPr>
      <w:r>
        <w:rPr>
          <w:rFonts w:hint="eastAsia" w:ascii="Times New Roman" w:hAnsi="Times New Roman" w:eastAsia="仿宋"/>
          <w:sz w:val="32"/>
        </w:rPr>
        <w:t>9月16日，美联储将联邦基金利率目标区间上调25个基点至3.75%至4%，为2023年以来首次加息。声明称美国经济活动保持稳健，国内支出和资本投资较强，但通胀仍处高位，本次行动旨在推动通胀更及时回到2%目标。（美联储）</w:t>
      </w:r>
    </w:p>
    <w:p w14:paraId="448D7D53">
      <w:pPr>
        <w:spacing w:line="360" w:lineRule="auto"/>
      </w:pPr>
    </w:p>
    <w:p w14:paraId="47C0D899">
      <w:pPr>
        <w:spacing w:before="260" w:after="260" w:line="413" w:lineRule="auto"/>
        <w:ind w:firstLine="0"/>
        <w:jc w:val="left"/>
      </w:pPr>
      <w:r>
        <w:rPr>
          <w:rFonts w:hint="eastAsia" w:ascii="Arial" w:hAnsi="Arial" w:eastAsia="黑体"/>
          <w:b/>
          <w:sz w:val="32"/>
          <w:lang w:val="en-US" w:eastAsia="zh-CN"/>
        </w:rPr>
        <w:t>二、市场</w:t>
      </w:r>
    </w:p>
    <w:p w14:paraId="286B1702">
      <w:pPr>
        <w:spacing w:line="360" w:lineRule="auto"/>
        <w:jc w:val="center"/>
      </w:pPr>
      <w:r>
        <w:rPr>
          <w:rFonts w:ascii="Arial" w:hAnsi="Arial" w:eastAsia="黑体"/>
          <w:b/>
          <w:sz w:val="32"/>
        </w:rPr>
        <w:t>全球数据中心电力需求预计增长31%，AI服务器占比升至33.4%</w:t>
      </w:r>
    </w:p>
    <w:p w14:paraId="3EDF042D">
      <w:pPr>
        <w:spacing w:line="360" w:lineRule="auto"/>
        <w:ind w:firstLine="576"/>
        <w:jc w:val="left"/>
      </w:pPr>
      <w:r>
        <w:rPr>
          <w:rFonts w:ascii="Times New Roman" w:hAnsi="Times New Roman" w:eastAsia="仿宋"/>
          <w:sz w:val="32"/>
        </w:rPr>
        <w:t>9月16日，TrendForce发布预测，2026年全球数据中心电力需求容量将达到161GW，同比增长约31%；AI服务器将贡献主要增量，占整体需求容量的33.4%。机构预计电网供应缺口将在2028年后扩大，算力建设对电力、散热和高端硬件的配套要求继续提高。（TrendForce）</w:t>
      </w:r>
    </w:p>
    <w:p w14:paraId="4A30D542">
      <w:pPr>
        <w:spacing w:line="360" w:lineRule="auto"/>
      </w:pPr>
    </w:p>
    <w:p w14:paraId="0CB0C87A">
      <w:pPr>
        <w:spacing w:line="360" w:lineRule="auto"/>
        <w:jc w:val="center"/>
      </w:pPr>
      <w:r>
        <w:rPr>
          <w:rFonts w:ascii="Arial" w:hAnsi="Arial" w:eastAsia="黑体"/>
          <w:b/>
          <w:sz w:val="32"/>
        </w:rPr>
        <w:t>二季度全球XR头显和智能眼镜出货增长35.3%</w:t>
      </w:r>
    </w:p>
    <w:p w14:paraId="5B7810C3">
      <w:pPr>
        <w:spacing w:line="360" w:lineRule="auto"/>
        <w:ind w:firstLine="576"/>
        <w:jc w:val="left"/>
      </w:pPr>
      <w:r>
        <w:rPr>
          <w:rFonts w:ascii="Times New Roman" w:hAnsi="Times New Roman" w:eastAsia="仿宋"/>
          <w:sz w:val="32"/>
        </w:rPr>
        <w:t>9月16日，IDC发布数据，2026年第二季度全球XR头显和智能眼镜出货量同比增长35.3%，增速较第一季度的130.2%明显放缓。无显示屏音频眼镜占出货量70.3%，显示型眼镜占比由上年同期的11%升至14.3%。（IDC）</w:t>
      </w:r>
    </w:p>
    <w:p w14:paraId="19AE7C5F">
      <w:pPr>
        <w:spacing w:line="360" w:lineRule="auto"/>
      </w:pPr>
    </w:p>
    <w:p w14:paraId="66596D5C">
      <w:pPr>
        <w:spacing w:line="360" w:lineRule="auto"/>
      </w:pPr>
    </w:p>
    <w:p w14:paraId="01982EF3">
      <w:pPr>
        <w:spacing w:line="360" w:lineRule="auto"/>
        <w:jc w:val="center"/>
      </w:pPr>
      <w:r>
        <w:rPr>
          <w:rFonts w:hint="eastAsia" w:ascii="Arial" w:hAnsi="Arial" w:eastAsia="黑体"/>
          <w:b/>
          <w:sz w:val="32"/>
        </w:rPr>
        <w:t>8月我国工业机器人产量增长34.6%，前8个月接近73万套</w:t>
      </w:r>
    </w:p>
    <w:p w14:paraId="03F5C087">
      <w:pPr>
        <w:spacing w:line="360" w:lineRule="auto"/>
        <w:ind w:firstLine="576"/>
        <w:jc w:val="left"/>
        <w:rPr>
          <w:rFonts w:hint="eastAsia" w:eastAsia="仿宋"/>
          <w:lang w:eastAsia="zh-CN"/>
        </w:rPr>
      </w:pPr>
      <w:r>
        <w:rPr>
          <w:rFonts w:hint="eastAsia" w:ascii="Times New Roman" w:hAnsi="Times New Roman" w:eastAsia="仿宋"/>
          <w:sz w:val="32"/>
          <w:lang w:val="en-US" w:eastAsia="zh-CN"/>
        </w:rPr>
        <w:t>9月15日，国家统计局数据显示，8月我国工业机器人产量为96174套，同比增长34.6%；1至8月累计产量729352套，同比增长29%。同期服务机器人产量165.61万套，同比增长5%，前8个月累计增长12.1%。（国家统计局）</w:t>
      </w:r>
    </w:p>
    <w:p w14:paraId="16820072">
      <w:pPr>
        <w:spacing w:line="360" w:lineRule="auto"/>
      </w:pPr>
    </w:p>
    <w:p w14:paraId="2BD96FC9">
      <w:pPr>
        <w:spacing w:before="260" w:after="260" w:line="413" w:lineRule="auto"/>
        <w:ind w:firstLine="0"/>
        <w:jc w:val="left"/>
      </w:pPr>
      <w:r>
        <w:rPr>
          <w:rFonts w:hint="eastAsia" w:ascii="Arial" w:hAnsi="Arial" w:eastAsia="黑体"/>
          <w:b/>
          <w:sz w:val="32"/>
          <w:lang w:val="en-US" w:eastAsia="zh-CN"/>
        </w:rPr>
        <w:t>三、企业</w:t>
      </w:r>
    </w:p>
    <w:p w14:paraId="4848F763">
      <w:pPr>
        <w:spacing w:line="360" w:lineRule="auto"/>
        <w:jc w:val="center"/>
      </w:pPr>
      <w:r>
        <w:rPr>
          <w:rFonts w:ascii="Arial" w:hAnsi="Arial" w:eastAsia="黑体"/>
          <w:b/>
          <w:sz w:val="32"/>
        </w:rPr>
        <w:t>鹏鼎控股96亿元定增申请获深交所受理</w:t>
      </w:r>
    </w:p>
    <w:p w14:paraId="0A82C8E6">
      <w:pPr>
        <w:spacing w:line="360" w:lineRule="auto"/>
        <w:ind w:firstLine="576"/>
        <w:jc w:val="left"/>
      </w:pPr>
      <w:r>
        <w:rPr>
          <w:rFonts w:ascii="Times New Roman" w:hAnsi="Times New Roman" w:eastAsia="仿宋"/>
          <w:sz w:val="32"/>
        </w:rPr>
        <w:t>9月11日，鹏鼎控股公告，向特定对象发行A股股票申请获深交所受理，拟募资不超过96亿元，全部投向庆鼎AI服务器和高速光模块高密度互连积层板项目。项目总投资约127.30亿元，规划新增约65.56万平方米高阶HDI年产能。（鹏鼎控股公告）</w:t>
      </w:r>
    </w:p>
    <w:p w14:paraId="222F14EC">
      <w:pPr>
        <w:spacing w:line="360" w:lineRule="auto"/>
      </w:pPr>
    </w:p>
    <w:p w14:paraId="54DBED58">
      <w:pPr>
        <w:spacing w:line="360" w:lineRule="auto"/>
        <w:jc w:val="center"/>
      </w:pPr>
      <w:r>
        <w:rPr>
          <w:rFonts w:ascii="Arial" w:hAnsi="Arial" w:eastAsia="黑体"/>
          <w:b/>
          <w:sz w:val="32"/>
        </w:rPr>
        <w:t>生益电子完成25.29亿元定增发行，资金投向AI算力PCB项目</w:t>
      </w:r>
    </w:p>
    <w:p w14:paraId="3F5DB8FF">
      <w:pPr>
        <w:spacing w:line="360" w:lineRule="auto"/>
        <w:ind w:firstLine="576"/>
        <w:jc w:val="left"/>
      </w:pPr>
      <w:r>
        <w:rPr>
          <w:rFonts w:ascii="Times New Roman" w:hAnsi="Times New Roman" w:eastAsia="仿宋"/>
          <w:sz w:val="32"/>
        </w:rPr>
        <w:t>9月12日，生益电子披露发行情况报告书，公司向6名特定对象发行2266.98万股，募集资金总额25.29亿元、净额25.20亿元。资金主要用于人工智能计算HDI生产基地、智能制造高多层算力电路板项目，以及补充流动资金和偿还银行贷款。（生益电子公告）</w:t>
      </w:r>
    </w:p>
    <w:p w14:paraId="5506A226">
      <w:pPr>
        <w:spacing w:line="360" w:lineRule="auto"/>
      </w:pPr>
    </w:p>
    <w:p w14:paraId="7A35894A">
      <w:pPr>
        <w:spacing w:line="360" w:lineRule="auto"/>
        <w:jc w:val="center"/>
      </w:pPr>
      <w:r>
        <w:rPr>
          <w:rFonts w:ascii="Arial" w:hAnsi="Arial" w:eastAsia="黑体"/>
          <w:b/>
          <w:sz w:val="32"/>
        </w:rPr>
        <w:t>华正新材回复定增问询，拟募资12亿元扩建高等级覆铜板</w:t>
      </w:r>
    </w:p>
    <w:p w14:paraId="3EEFF594">
      <w:pPr>
        <w:spacing w:line="360" w:lineRule="auto"/>
        <w:ind w:firstLine="576"/>
        <w:jc w:val="left"/>
      </w:pPr>
      <w:r>
        <w:rPr>
          <w:rFonts w:ascii="Times New Roman" w:hAnsi="Times New Roman" w:eastAsia="仿宋"/>
          <w:sz w:val="32"/>
        </w:rPr>
        <w:t>9月15日，华正新材披露向特定对象发行股票审核问询回复，拟募资不超过12亿元，其中10亿元用于年产1200万张高等级覆铜板项目，2亿元用于补充流动资金。公司预计项目达产后毛利率为15.93%，项目收益仍受市场需求、原材料价格及产能爬坡等因素影响。（华正新材公告）</w:t>
      </w:r>
    </w:p>
    <w:p w14:paraId="13A1F078">
      <w:pPr>
        <w:spacing w:line="360" w:lineRule="auto"/>
      </w:pPr>
    </w:p>
    <w:p w14:paraId="30D26102">
      <w:pPr>
        <w:spacing w:line="360" w:lineRule="auto"/>
        <w:jc w:val="center"/>
      </w:pPr>
      <w:r>
        <w:rPr>
          <w:rFonts w:ascii="Arial" w:hAnsi="Arial" w:eastAsia="黑体"/>
          <w:b/>
          <w:sz w:val="32"/>
        </w:rPr>
        <w:t>博敏电子梅州新工厂高阶PCB年产能规划36万平方米</w:t>
      </w:r>
    </w:p>
    <w:p w14:paraId="23003CC9">
      <w:pPr>
        <w:spacing w:line="360" w:lineRule="auto"/>
        <w:ind w:firstLine="576"/>
        <w:jc w:val="left"/>
      </w:pPr>
      <w:r>
        <w:rPr>
          <w:rFonts w:ascii="Times New Roman" w:hAnsi="Times New Roman" w:eastAsia="仿宋"/>
          <w:sz w:val="32"/>
        </w:rPr>
        <w:t>9月14日，博敏电子在业绩说明会上表示，梅州创芯智造园一期已于2026年一季度投产，主要面向人工智能、高速通信和智能汽车领域的高多层及高可靠性HDI产品，规划年产能36万平方米，具备52层、厚径比30:1通孔及7阶HDI生产能力。（博敏电子公告）</w:t>
      </w:r>
    </w:p>
    <w:p w14:paraId="21927C11">
      <w:pPr>
        <w:spacing w:line="360" w:lineRule="auto"/>
        <w:jc w:val="left"/>
        <w:rPr>
          <w:rFonts w:hint="eastAsia" w:ascii="Times New Roman" w:hAnsi="Times New Roman" w:eastAsia="仿宋"/>
          <w:sz w:val="32"/>
        </w:rPr>
      </w:pPr>
    </w:p>
    <w:p w14:paraId="509F01DF">
      <w:pPr>
        <w:spacing w:line="360" w:lineRule="auto"/>
        <w:jc w:val="left"/>
        <w:rPr>
          <w:rFonts w:hint="default" w:ascii="Times New Roman" w:hAnsi="Times New Roman" w:eastAsia="仿宋"/>
          <w:sz w:val="32"/>
          <w:lang w:val="en-US" w:eastAsia="zh-CN"/>
        </w:rPr>
      </w:pPr>
    </w:p>
    <w:p w14:paraId="33D683F5">
      <w:pPr>
        <w:spacing w:line="360" w:lineRule="auto"/>
        <w:jc w:val="center"/>
        <w:rPr>
          <w:rFonts w:hint="eastAsia"/>
        </w:rPr>
      </w:pPr>
      <w:r>
        <w:rPr>
          <w:rFonts w:hint="eastAsia" w:ascii="Arial" w:hAnsi="Arial" w:eastAsia="黑体"/>
          <w:b/>
          <w:sz w:val="32"/>
        </w:rPr>
        <w:t>依顿电子29.79亿元高端PCB智能制造项目获股东会通过</w:t>
      </w:r>
    </w:p>
    <w:p w14:paraId="177B721B">
      <w:pPr>
        <w:spacing w:line="360" w:lineRule="auto"/>
        <w:ind w:firstLine="576"/>
        <w:jc w:val="left"/>
        <w:rPr>
          <w:rFonts w:hint="default" w:ascii="Times New Roman" w:hAnsi="Times New Roman" w:eastAsia="仿宋"/>
          <w:sz w:val="32"/>
          <w:lang w:val="en-US" w:eastAsia="zh-CN"/>
        </w:rPr>
      </w:pPr>
      <w:r>
        <w:rPr>
          <w:rFonts w:hint="eastAsia" w:ascii="Times New Roman" w:hAnsi="Times New Roman" w:eastAsia="仿宋"/>
          <w:sz w:val="32"/>
        </w:rPr>
        <w:t>9月10日，依顿电子股东会审议通过高端印制电路板智能制造项目。项目计划总投资29.79亿元，建设期21个月，拟在中山现有园区形成面向高端算力硬件的规模化制造能力，规划年产40万平方米高端PCB，其中高多层板34万平方米、高阶HDI板6万平方米。（依顿电子公告）</w:t>
      </w:r>
    </w:p>
    <w:p w14:paraId="3AEA53A4">
      <w:pPr>
        <w:spacing w:line="360" w:lineRule="auto"/>
        <w:ind w:firstLine="576"/>
        <w:jc w:val="left"/>
        <w:rPr>
          <w:rFonts w:hint="default" w:ascii="Times New Roman" w:hAnsi="Times New Roman" w:eastAsia="仿宋"/>
          <w:sz w:val="32"/>
          <w:lang w:val="en-US" w:eastAsia="zh-CN"/>
        </w:rPr>
      </w:pPr>
    </w:p>
    <w:p w14:paraId="5C9A0D00">
      <w:pPr>
        <w:spacing w:line="360" w:lineRule="auto"/>
        <w:jc w:val="center"/>
        <w:rPr>
          <w:rFonts w:hint="eastAsia"/>
        </w:rPr>
      </w:pPr>
      <w:r>
        <w:rPr>
          <w:rFonts w:hint="eastAsia" w:ascii="Arial" w:hAnsi="Arial" w:eastAsia="黑体"/>
          <w:b/>
          <w:sz w:val="32"/>
        </w:rPr>
        <w:t>鼎泰高科拟7亿投建高端电子材料产能</w:t>
      </w:r>
    </w:p>
    <w:p w14:paraId="02BB4A5F">
      <w:pPr>
        <w:spacing w:line="360" w:lineRule="auto"/>
        <w:ind w:firstLine="576"/>
        <w:jc w:val="left"/>
        <w:rPr>
          <w:rFonts w:hint="default" w:ascii="Times New Roman" w:hAnsi="Times New Roman" w:eastAsia="仿宋"/>
          <w:sz w:val="32"/>
          <w:lang w:val="en-US" w:eastAsia="zh-CN"/>
        </w:rPr>
      </w:pPr>
      <w:r>
        <w:rPr>
          <w:rFonts w:hint="eastAsia" w:ascii="Times New Roman" w:hAnsi="Times New Roman" w:eastAsia="仿宋"/>
          <w:sz w:val="32"/>
        </w:rPr>
        <w:t>9月15日，鼎泰高科发布公告显示，其全资子公司拟在东莞投资7亿元建设鼎泰鑫先进新材料制造基地项目，布局研磨抛光材料及功能性膜产品。长江商报记者注意到，AI算力需求爆发带动PCB高端钻针需求激增，鼎泰高科业绩实现爆发式增长。（</w:t>
      </w:r>
      <w:r>
        <w:rPr>
          <w:rFonts w:hint="eastAsia" w:ascii="Times New Roman" w:hAnsi="Times New Roman" w:eastAsia="仿宋"/>
          <w:sz w:val="32"/>
          <w:lang w:val="en-US" w:eastAsia="zh-CN"/>
        </w:rPr>
        <w:t>长江商报</w:t>
      </w:r>
      <w:r>
        <w:rPr>
          <w:rFonts w:hint="eastAsia" w:ascii="Times New Roman" w:hAnsi="Times New Roman" w:eastAsia="仿宋"/>
          <w:sz w:val="32"/>
        </w:rPr>
        <w:t>）</w:t>
      </w:r>
    </w:p>
    <w:p w14:paraId="46DBC002">
      <w:pPr>
        <w:spacing w:line="360" w:lineRule="auto"/>
        <w:jc w:val="left"/>
        <w:rPr>
          <w:rFonts w:hint="eastAsia" w:ascii="Times New Roman" w:hAnsi="Times New Roman" w:eastAsia="仿宋"/>
          <w:sz w:val="32"/>
        </w:rPr>
      </w:pPr>
    </w:p>
    <w:p w14:paraId="5BFEFDA5">
      <w:pPr>
        <w:spacing w:line="360" w:lineRule="auto"/>
        <w:jc w:val="right"/>
      </w:pPr>
      <w:r>
        <w:rPr>
          <w:rFonts w:ascii="Arial" w:hAnsi="Arial" w:eastAsia="黑体"/>
          <w:b/>
          <w:sz w:val="32"/>
        </w:rPr>
        <w:t>更多精彩内容请扫描下方二维码，关注CPCA服务号</w:t>
      </w:r>
    </w:p>
    <w:p w14:paraId="6A4A3C9A">
      <w:pPr>
        <w:spacing w:line="360" w:lineRule="auto"/>
        <w:jc w:val="right"/>
      </w:pPr>
      <w:r>
        <w:rPr>
          <w:rFonts w:ascii="Times New Roman" w:hAnsi="Times New Roman" w:eastAsia="仿宋"/>
          <w:sz w:val="32"/>
        </w:rPr>
        <w:t>撰稿人：张国旗</w:t>
      </w:r>
    </w:p>
    <w:p w14:paraId="5B639555">
      <w:pPr>
        <w:spacing w:line="360" w:lineRule="auto"/>
        <w:jc w:val="right"/>
      </w:pPr>
      <w:r>
        <w:rPr>
          <w:rFonts w:ascii="华文仿宋" w:hAnsi="华文仿宋" w:eastAsia="华文仿宋"/>
          <w:sz w:val="28"/>
        </w:rPr>
        <w:t>审核：张运</w:t>
      </w:r>
    </w:p>
    <w:p w14:paraId="044B3D61">
      <w:pPr>
        <w:widowControl w:val="0"/>
        <w:bidi w:val="0"/>
        <w:spacing w:line="240" w:lineRule="auto"/>
        <w:ind w:left="0" w:leftChars="0" w:firstLine="0" w:firstLineChars="0"/>
        <w:jc w:val="right"/>
        <w:rPr>
          <w:rFonts w:hint="default" w:ascii="Times New Roman" w:hAnsi="Times New Roman" w:eastAsia="仿宋" w:cs="Times New Roman"/>
          <w:sz w:val="32"/>
          <w:szCs w:val="24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24"/>
        </w:rPr>
        <w:drawing>
          <wp:inline distT="0" distB="0" distL="114300" distR="114300">
            <wp:extent cx="1187450" cy="1168400"/>
            <wp:effectExtent l="0" t="0" r="6350" b="0"/>
            <wp:docPr id="3" name="图片 10" descr="Image: 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0" descr="Image: image2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8745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ACD8E">
      <w:r>
        <w:rPr>
          <w:rFonts w:hint="default" w:ascii="Times New Roman" w:hAnsi="Times New Roman" w:eastAsia="仿宋" w:cs="Times New Roma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73675" cy="3503295"/>
            <wp:effectExtent l="0" t="0" r="9525" b="1905"/>
            <wp:docPr id="2" name="图片 2" descr="467b3544aa10c7b69a0d3f65ce8dd4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67b3544aa10c7b69a0d3f65ce8dd4d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50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pgSz w:w="11906" w:h="16838"/>
      <w:pgMar w:top="156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0F4FE4">
    <w:pPr>
      <w:pStyle w:val="4"/>
      <w:pBdr>
        <w:bottom w:val="none" w:color="auto" w:sz="0" w:space="0"/>
      </w:pBdr>
      <w:jc w:val="both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69215</wp:posOffset>
          </wp:positionV>
          <wp:extent cx="6782435" cy="513080"/>
          <wp:effectExtent l="0" t="0" r="0" b="1270"/>
          <wp:wrapTight wrapText="bothSides">
            <wp:wrapPolygon>
              <wp:start x="15713" y="0"/>
              <wp:lineTo x="0" y="0"/>
              <wp:lineTo x="0" y="18446"/>
              <wp:lineTo x="5703" y="20851"/>
              <wp:lineTo x="21477" y="20851"/>
              <wp:lineTo x="21477" y="17644"/>
              <wp:lineTo x="20203" y="13634"/>
              <wp:lineTo x="19232" y="12832"/>
              <wp:lineTo x="21355" y="8822"/>
              <wp:lineTo x="21477" y="4812"/>
              <wp:lineTo x="20809" y="0"/>
              <wp:lineTo x="15713" y="0"/>
            </wp:wrapPolygon>
          </wp:wrapTight>
          <wp:docPr id="1" name="图片 1" descr="C:\Users\Administrator\Desktop\未标题-1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C:\Users\Administrator\Desktop\未标题-1.wm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82585" cy="513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A87"/>
    <w:rsid w:val="00065C06"/>
    <w:rsid w:val="0035113B"/>
    <w:rsid w:val="003A66A4"/>
    <w:rsid w:val="004F2A87"/>
    <w:rsid w:val="006B3D1E"/>
    <w:rsid w:val="007065AE"/>
    <w:rsid w:val="0073199B"/>
    <w:rsid w:val="007456A0"/>
    <w:rsid w:val="008355BB"/>
    <w:rsid w:val="009014D3"/>
    <w:rsid w:val="00C372FC"/>
    <w:rsid w:val="00D65DCA"/>
    <w:rsid w:val="00E70812"/>
    <w:rsid w:val="00F70C01"/>
    <w:rsid w:val="00FF5190"/>
    <w:rsid w:val="045F663E"/>
    <w:rsid w:val="06B47FC9"/>
    <w:rsid w:val="071C1AB9"/>
    <w:rsid w:val="07221569"/>
    <w:rsid w:val="07DD40F6"/>
    <w:rsid w:val="083B7C49"/>
    <w:rsid w:val="0CB1267E"/>
    <w:rsid w:val="0E0A67C5"/>
    <w:rsid w:val="0E220FBD"/>
    <w:rsid w:val="0E73679E"/>
    <w:rsid w:val="0FA436B7"/>
    <w:rsid w:val="0FAD6545"/>
    <w:rsid w:val="0FC0235B"/>
    <w:rsid w:val="0FCC54B4"/>
    <w:rsid w:val="10CF4D8A"/>
    <w:rsid w:val="13A55F62"/>
    <w:rsid w:val="150F2940"/>
    <w:rsid w:val="164B0998"/>
    <w:rsid w:val="16E96798"/>
    <w:rsid w:val="18700773"/>
    <w:rsid w:val="1CDA2E0B"/>
    <w:rsid w:val="21A55BAC"/>
    <w:rsid w:val="21A60DC4"/>
    <w:rsid w:val="225C17EC"/>
    <w:rsid w:val="236405A0"/>
    <w:rsid w:val="25AF1BE4"/>
    <w:rsid w:val="25B55B0A"/>
    <w:rsid w:val="25EE16C9"/>
    <w:rsid w:val="264A2919"/>
    <w:rsid w:val="266175BF"/>
    <w:rsid w:val="27003495"/>
    <w:rsid w:val="28C049EA"/>
    <w:rsid w:val="28FD408E"/>
    <w:rsid w:val="29163431"/>
    <w:rsid w:val="29EF0897"/>
    <w:rsid w:val="2B767FBE"/>
    <w:rsid w:val="2BF15CE7"/>
    <w:rsid w:val="2D364384"/>
    <w:rsid w:val="2DC669A6"/>
    <w:rsid w:val="2E4775E3"/>
    <w:rsid w:val="2EDE3EE6"/>
    <w:rsid w:val="315179C6"/>
    <w:rsid w:val="33274995"/>
    <w:rsid w:val="33A475BE"/>
    <w:rsid w:val="33C137F8"/>
    <w:rsid w:val="369A381C"/>
    <w:rsid w:val="36ED7D2B"/>
    <w:rsid w:val="37CF5FD6"/>
    <w:rsid w:val="381216B5"/>
    <w:rsid w:val="38AD19AF"/>
    <w:rsid w:val="39431EEE"/>
    <w:rsid w:val="39F27144"/>
    <w:rsid w:val="3A522D3D"/>
    <w:rsid w:val="3A6D2312"/>
    <w:rsid w:val="3ACF3611"/>
    <w:rsid w:val="3B265F2E"/>
    <w:rsid w:val="3B766568"/>
    <w:rsid w:val="3ED15FEF"/>
    <w:rsid w:val="3EDF266A"/>
    <w:rsid w:val="3F233925"/>
    <w:rsid w:val="3FDD3C4F"/>
    <w:rsid w:val="40297E1C"/>
    <w:rsid w:val="44BD69EB"/>
    <w:rsid w:val="456055DE"/>
    <w:rsid w:val="45F31C63"/>
    <w:rsid w:val="45FD6761"/>
    <w:rsid w:val="461343DB"/>
    <w:rsid w:val="496A4B8E"/>
    <w:rsid w:val="4ABF4154"/>
    <w:rsid w:val="4B4134FD"/>
    <w:rsid w:val="4B543446"/>
    <w:rsid w:val="4E4364C2"/>
    <w:rsid w:val="50EA418D"/>
    <w:rsid w:val="510C0237"/>
    <w:rsid w:val="521E7BC5"/>
    <w:rsid w:val="52762767"/>
    <w:rsid w:val="52793D86"/>
    <w:rsid w:val="536C7C6B"/>
    <w:rsid w:val="53A662DF"/>
    <w:rsid w:val="53AD3873"/>
    <w:rsid w:val="53CF538E"/>
    <w:rsid w:val="557B2A48"/>
    <w:rsid w:val="55DB0099"/>
    <w:rsid w:val="57F01B04"/>
    <w:rsid w:val="596C1A28"/>
    <w:rsid w:val="59E7637A"/>
    <w:rsid w:val="59EE1099"/>
    <w:rsid w:val="5CF95551"/>
    <w:rsid w:val="5D9615A2"/>
    <w:rsid w:val="61863437"/>
    <w:rsid w:val="61E21505"/>
    <w:rsid w:val="624D40D3"/>
    <w:rsid w:val="62E354DE"/>
    <w:rsid w:val="632528C9"/>
    <w:rsid w:val="642D34F2"/>
    <w:rsid w:val="64592EAE"/>
    <w:rsid w:val="65326415"/>
    <w:rsid w:val="65605C5F"/>
    <w:rsid w:val="65AE7F5D"/>
    <w:rsid w:val="65FB0E53"/>
    <w:rsid w:val="66452A5A"/>
    <w:rsid w:val="66C33328"/>
    <w:rsid w:val="678149E0"/>
    <w:rsid w:val="68BE0B64"/>
    <w:rsid w:val="68D47E6F"/>
    <w:rsid w:val="691A127E"/>
    <w:rsid w:val="692244D0"/>
    <w:rsid w:val="6968585F"/>
    <w:rsid w:val="6A19339F"/>
    <w:rsid w:val="6BCE176C"/>
    <w:rsid w:val="6D07449C"/>
    <w:rsid w:val="6D8365BD"/>
    <w:rsid w:val="6E2A4350"/>
    <w:rsid w:val="6E3E1339"/>
    <w:rsid w:val="6E6D657F"/>
    <w:rsid w:val="6EC32276"/>
    <w:rsid w:val="6F0F1346"/>
    <w:rsid w:val="6F57027E"/>
    <w:rsid w:val="6F7810F5"/>
    <w:rsid w:val="71313AC1"/>
    <w:rsid w:val="72DB7A02"/>
    <w:rsid w:val="72DE08AE"/>
    <w:rsid w:val="72EE6ECA"/>
    <w:rsid w:val="73A51C06"/>
    <w:rsid w:val="752B4467"/>
    <w:rsid w:val="772054B7"/>
    <w:rsid w:val="77B64349"/>
    <w:rsid w:val="78404F59"/>
    <w:rsid w:val="78D0113A"/>
    <w:rsid w:val="79120DC0"/>
    <w:rsid w:val="7B086666"/>
    <w:rsid w:val="7B870239"/>
    <w:rsid w:val="7C007CD6"/>
    <w:rsid w:val="7C6C3669"/>
    <w:rsid w:val="7CFB2380"/>
    <w:rsid w:val="7DC1685E"/>
    <w:rsid w:val="7E4839B7"/>
    <w:rsid w:val="7E9D64A0"/>
    <w:rsid w:val="7F726CC2"/>
    <w:rsid w:val="7FC73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2725</Words>
  <Characters>3179</Characters>
  <Lines>0</Lines>
  <Paragraphs>0</Paragraphs>
  <TotalTime>1250</TotalTime>
  <ScaleCrop>false</ScaleCrop>
  <LinksUpToDate>false</LinksUpToDate>
  <CharactersWithSpaces>3223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2021-09-23T01:41:00Z</dcterms:created>
  <dc:creator>A</dc:creator>
  <cp:keywords>CPCA, PCB, 每周资讯, 第149期, 宏观, 市场, 企业</cp:keywords>
  <cp:lastModifiedBy>朕已阅</cp:lastModifiedBy>
  <cp:lastPrinted>2021-09-23T03:57:00Z</cp:lastPrinted>
  <dcterms:modified xsi:type="dcterms:W3CDTF">2026-09-17T02:20:43Z</dcterms:modified>
  <dc:subject>2026年8月27日至9月2日PCB行业每周资讯</dc:subject>
  <dc:title>CPCA149期每周资讯热点报告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eyJoZGlkIjoiYjk5ODM0YmMxOWJiYWQyNDU4MGIzYWRmYTA0ZmI5NDciLCJ1c2VySWQiOiIxMzgyMTM1ODU2In0=</vt:lpwstr>
  </property>
  <property fmtid="{D5CDD505-2E9C-101B-9397-08002B2CF9AE}" pid="3" name="KSOProductBuildVer">
    <vt:lpwstr>2052-12.1.0.28505</vt:lpwstr>
  </property>
  <property fmtid="{D5CDD505-2E9C-101B-9397-08002B2CF9AE}" pid="4" name="ICV">
    <vt:lpwstr>475234387207408695256EAD167E8E62_13</vt:lpwstr>
  </property>
</Properties>
</file>