
<file path=[Content_Types].xml><?xml version="1.0" encoding="utf-8"?>
<Types xmlns="http://schemas.openxmlformats.org/package/2006/content-types">
  <Default Extension="wmf" ContentType="image/x-wmf"/>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F6A1A">
      <w:pPr>
        <w:spacing w:line="360" w:lineRule="auto"/>
        <w:jc w:val="both"/>
      </w:pPr>
    </w:p>
    <w:p w14:paraId="287E5B2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center"/>
        <w:textAlignment w:val="baseline"/>
        <w:rPr>
          <w:rFonts w:hint="default" w:ascii="Times New Roman" w:hAnsi="Times New Roman" w:eastAsia="仿宋" w:cs="Times New Roman"/>
          <w:color w:val="04AC5C"/>
          <w:sz w:val="32"/>
          <w:szCs w:val="24"/>
          <w:lang w:val="en-US"/>
        </w:rPr>
      </w:pPr>
      <w:r>
        <w:rPr>
          <w:rFonts w:hint="eastAsia" w:ascii="华文楷体" w:hAnsi="华文楷体" w:eastAsia="华文楷体" w:cs="华文楷体"/>
          <w:b/>
          <w:bCs/>
          <w:snapToGrid w:val="0"/>
          <w:color w:val="04AC5C"/>
          <w:kern w:val="0"/>
          <w:sz w:val="28"/>
          <w:szCs w:val="28"/>
          <w:lang w:val="en-US" w:eastAsia="zh-CN" w:bidi="ar"/>
        </w:rPr>
        <w:t>第153期</w:t>
      </w:r>
    </w:p>
    <w:p w14:paraId="62D56D6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both"/>
        <w:textAlignment w:val="baseline"/>
        <w:rPr>
          <w:rFonts w:hint="default" w:ascii="Arial" w:hAnsi="Times New Roman" w:eastAsia="仿宋" w:cs="Times New Roman"/>
          <w:color w:val="04AC5C"/>
          <w:sz w:val="21"/>
          <w:szCs w:val="24"/>
          <w:lang w:val="en-US"/>
        </w:rPr>
      </w:pPr>
      <w:r>
        <w:rPr>
          <w:rFonts w:ascii="华文楷体" w:hAnsi="华文楷体" w:eastAsia="华文楷体" w:cs="华文楷体"/>
          <w:b/>
          <w:bCs/>
          <w:snapToGrid w:val="0"/>
          <w:color w:val="04AC5C"/>
          <w:kern w:val="0"/>
          <w:sz w:val="28"/>
          <w:szCs w:val="28"/>
          <w:u w:val="single" w:color="auto"/>
          <w:lang w:val="en-US" w:eastAsia="zh-CN" w:bidi="ar"/>
        </w:rPr>
        <w:t>信息部                                           2026年10月</w:t>
      </w:r>
    </w:p>
    <w:p w14:paraId="6201E98D">
      <w:pPr>
        <w:spacing w:before="260" w:after="260" w:line="413" w:lineRule="auto"/>
        <w:jc w:val="left"/>
        <w:rPr>
          <w:rFonts w:hint="default" w:eastAsia="黑体"/>
          <w:lang w:val="en-US" w:eastAsia="zh-CN"/>
        </w:rPr>
      </w:pPr>
      <w:r>
        <w:rPr>
          <w:rFonts w:ascii="Arial" w:hAnsi="Arial" w:eastAsia="黑体"/>
          <w:b/>
          <w:sz w:val="32"/>
        </w:rPr>
        <w:t>每周资讯|科技创新和产业创新深度融合</w:t>
      </w:r>
      <w:r>
        <w:rPr>
          <w:rFonts w:hint="eastAsia" w:ascii="Arial" w:hAnsi="Arial" w:eastAsia="黑体"/>
          <w:b/>
          <w:sz w:val="32"/>
          <w:lang w:eastAsia="zh-CN"/>
        </w:rPr>
        <w:t>；</w:t>
      </w:r>
      <w:r>
        <w:rPr>
          <w:rFonts w:ascii="Arial" w:hAnsi="Arial" w:eastAsia="黑体"/>
          <w:b/>
          <w:sz w:val="32"/>
        </w:rPr>
        <w:t>三季度全球手机出货量下降20%</w:t>
      </w:r>
      <w:r>
        <w:rPr>
          <w:rFonts w:hint="eastAsia" w:ascii="Arial" w:hAnsi="Arial" w:eastAsia="黑体"/>
          <w:b/>
          <w:sz w:val="32"/>
          <w:lang w:eastAsia="zh-CN"/>
        </w:rPr>
        <w:t>；</w:t>
      </w:r>
      <w:r>
        <w:rPr>
          <w:rFonts w:ascii="Arial" w:hAnsi="Arial" w:eastAsia="黑体"/>
          <w:b/>
          <w:sz w:val="32"/>
        </w:rPr>
        <w:t>东山精密启动H股全球发售</w:t>
      </w:r>
    </w:p>
    <w:p w14:paraId="68D49C2D">
      <w:pPr>
        <w:spacing w:before="260" w:after="260" w:line="413" w:lineRule="auto"/>
        <w:ind w:firstLine="0"/>
        <w:jc w:val="left"/>
      </w:pPr>
      <w:r>
        <w:rPr>
          <w:rFonts w:hint="eastAsia" w:ascii="Arial" w:hAnsi="Arial" w:eastAsia="黑体"/>
          <w:b/>
          <w:sz w:val="32"/>
          <w:lang w:val="en-US" w:eastAsia="zh-CN"/>
        </w:rPr>
        <w:t>一、行业</w:t>
      </w:r>
    </w:p>
    <w:p w14:paraId="390C3771">
      <w:pPr>
        <w:spacing w:line="360" w:lineRule="auto"/>
        <w:jc w:val="center"/>
      </w:pPr>
      <w:r>
        <w:rPr>
          <w:rFonts w:ascii="Arial" w:hAnsi="Arial" w:eastAsia="黑体"/>
          <w:b/>
          <w:sz w:val="32"/>
        </w:rPr>
        <w:t>中办、国办提出推动科技创新和产业创新深度融合</w:t>
      </w:r>
    </w:p>
    <w:p w14:paraId="45A10AB3">
      <w:pPr>
        <w:spacing w:line="360" w:lineRule="auto"/>
        <w:ind w:firstLine="576"/>
        <w:jc w:val="left"/>
      </w:pPr>
      <w:r>
        <w:rPr>
          <w:rFonts w:ascii="Times New Roman" w:hAnsi="Times New Roman" w:eastAsia="仿宋"/>
          <w:sz w:val="32"/>
        </w:rPr>
        <w:t>10月21日，中共中央办公厅、国务院办公厅发布《关于推动科技创新和产业创新深度融合的意见》，提出强化企业创新主体地位，推动集成电路、先进材料等关键核心技术攻关，并支持企业牵头产学研合作和科技成果转化。</w:t>
      </w:r>
      <w:r>
        <w:fldChar w:fldCharType="begin"/>
      </w:r>
      <w:r>
        <w:instrText xml:space="preserve"> HYPERLINK "https://most.gov.cn/xxgk/xinxifenlei/fdzdgknr/fgzc/gfxwj/gfxwj2026/202610/t20261021_197540.html" \h </w:instrText>
      </w:r>
      <w:r>
        <w:fldChar w:fldCharType="separate"/>
      </w:r>
      <w:r>
        <w:rPr>
          <w:rFonts w:ascii="Times New Roman" w:hAnsi="Times New Roman" w:eastAsia="仿宋"/>
          <w:sz w:val="32"/>
        </w:rPr>
        <w:t>（科技部）</w:t>
      </w:r>
      <w:r>
        <w:rPr>
          <w:rFonts w:ascii="Times New Roman" w:hAnsi="Times New Roman" w:eastAsia="仿宋"/>
          <w:sz w:val="32"/>
        </w:rPr>
        <w:fldChar w:fldCharType="end"/>
      </w:r>
    </w:p>
    <w:p w14:paraId="5F0E5B6D">
      <w:pPr>
        <w:spacing w:line="360" w:lineRule="auto"/>
        <w:jc w:val="left"/>
      </w:pPr>
    </w:p>
    <w:p w14:paraId="7D749573">
      <w:pPr>
        <w:spacing w:line="360" w:lineRule="auto"/>
        <w:jc w:val="center"/>
      </w:pPr>
      <w:r>
        <w:rPr>
          <w:rFonts w:ascii="Arial" w:hAnsi="Arial" w:eastAsia="黑体"/>
          <w:b/>
          <w:sz w:val="32"/>
        </w:rPr>
        <w:t>前三季度国内生产总值同比增长4.6%</w:t>
      </w:r>
    </w:p>
    <w:p w14:paraId="543CBDDE">
      <w:pPr>
        <w:spacing w:line="360" w:lineRule="auto"/>
        <w:ind w:firstLine="576"/>
        <w:jc w:val="left"/>
        <w:rPr>
          <w:rFonts w:ascii="Times New Roman" w:hAnsi="Times New Roman" w:eastAsia="仿宋"/>
          <w:sz w:val="32"/>
        </w:rPr>
      </w:pPr>
      <w:r>
        <w:rPr>
          <w:rFonts w:ascii="Times New Roman" w:hAnsi="Times New Roman" w:eastAsia="仿宋"/>
          <w:sz w:val="32"/>
        </w:rPr>
        <w:t>10月19日，国家统计局公布，2026年前三季度国内生产总值为107.11万亿元，按不变价格计算同比增长4.6%；其中第三季度同比增长4.5%。规模以上工业增加值前三季度增长5.3%，经济运行总体平稳。</w:t>
      </w:r>
      <w:r>
        <w:fldChar w:fldCharType="begin"/>
      </w:r>
      <w:r>
        <w:instrText xml:space="preserve"> HYPERLINK "https://www.stats.gov.cn/sj/zxfbhjd/202610/t20261019_1965618.html" \h </w:instrText>
      </w:r>
      <w:r>
        <w:fldChar w:fldCharType="separate"/>
      </w:r>
      <w:r>
        <w:rPr>
          <w:rFonts w:ascii="Times New Roman" w:hAnsi="Times New Roman" w:eastAsia="仿宋"/>
          <w:sz w:val="32"/>
        </w:rPr>
        <w:t>（国家统计局）</w:t>
      </w:r>
      <w:r>
        <w:rPr>
          <w:rFonts w:ascii="Times New Roman" w:hAnsi="Times New Roman" w:eastAsia="仿宋"/>
          <w:sz w:val="32"/>
        </w:rPr>
        <w:fldChar w:fldCharType="end"/>
      </w:r>
    </w:p>
    <w:p w14:paraId="3242224C">
      <w:pPr>
        <w:spacing w:line="360" w:lineRule="auto"/>
        <w:jc w:val="left"/>
        <w:rPr>
          <w:rFonts w:ascii="Times New Roman" w:hAnsi="Times New Roman" w:eastAsia="仿宋"/>
          <w:sz w:val="32"/>
        </w:rPr>
      </w:pPr>
    </w:p>
    <w:p w14:paraId="5BDB5586">
      <w:pPr>
        <w:spacing w:line="360" w:lineRule="auto"/>
        <w:jc w:val="left"/>
      </w:pPr>
    </w:p>
    <w:p w14:paraId="2B732808">
      <w:pPr>
        <w:spacing w:line="360" w:lineRule="auto"/>
        <w:jc w:val="center"/>
      </w:pPr>
      <w:r>
        <w:rPr>
          <w:rFonts w:ascii="Arial" w:hAnsi="Arial" w:eastAsia="黑体"/>
          <w:b/>
          <w:sz w:val="32"/>
        </w:rPr>
        <w:t>国务院常务会议听取“人工智能+”行动进展汇报</w:t>
      </w:r>
    </w:p>
    <w:p w14:paraId="2F2EF604">
      <w:pPr>
        <w:spacing w:line="360" w:lineRule="auto"/>
        <w:ind w:firstLine="576"/>
        <w:jc w:val="left"/>
      </w:pPr>
      <w:r>
        <w:rPr>
          <w:rFonts w:ascii="Times New Roman" w:hAnsi="Times New Roman" w:eastAsia="仿宋"/>
          <w:sz w:val="32"/>
        </w:rPr>
        <w:t>10月16日，国务院常务会议听取“人工智能+”行动进展情况汇报。会议强调以落地应用牵引技术创新，推动人工智能与实体经济深度融合，并发挥我国产业体系完备、应用场景丰富和工程化能力强的优势。</w:t>
      </w:r>
      <w:r>
        <w:fldChar w:fldCharType="begin"/>
      </w:r>
      <w:r>
        <w:instrText xml:space="preserve"> HYPERLINK "https://www.mwr.gov.cn/xw/szyw/202610/t20261016_2145062.html" \h </w:instrText>
      </w:r>
      <w:r>
        <w:fldChar w:fldCharType="separate"/>
      </w:r>
      <w:r>
        <w:rPr>
          <w:rFonts w:ascii="Times New Roman" w:hAnsi="Times New Roman" w:eastAsia="仿宋"/>
          <w:sz w:val="32"/>
        </w:rPr>
        <w:t>（中国政府网）</w:t>
      </w:r>
      <w:r>
        <w:rPr>
          <w:rFonts w:ascii="Times New Roman" w:hAnsi="Times New Roman" w:eastAsia="仿宋"/>
          <w:sz w:val="32"/>
        </w:rPr>
        <w:fldChar w:fldCharType="end"/>
      </w:r>
    </w:p>
    <w:p w14:paraId="0B3D18BF">
      <w:pPr>
        <w:spacing w:line="360" w:lineRule="auto"/>
        <w:jc w:val="left"/>
      </w:pPr>
    </w:p>
    <w:p w14:paraId="4A30D542">
      <w:pPr>
        <w:spacing w:before="260" w:after="260" w:line="413" w:lineRule="auto"/>
        <w:ind w:firstLine="0"/>
        <w:jc w:val="left"/>
      </w:pPr>
      <w:r>
        <w:rPr>
          <w:rFonts w:hint="eastAsia" w:ascii="Arial" w:hAnsi="Arial" w:eastAsia="黑体"/>
          <w:b/>
          <w:sz w:val="32"/>
          <w:lang w:val="en-US" w:eastAsia="zh-CN"/>
        </w:rPr>
        <w:t>二、市场</w:t>
      </w:r>
    </w:p>
    <w:p w14:paraId="0CB0C87A">
      <w:pPr>
        <w:spacing w:line="360" w:lineRule="auto"/>
        <w:jc w:val="center"/>
      </w:pPr>
      <w:r>
        <w:rPr>
          <w:rFonts w:ascii="Arial" w:hAnsi="Arial" w:eastAsia="黑体"/>
          <w:b/>
          <w:sz w:val="32"/>
        </w:rPr>
        <w:t>三季度全球智能手机出货量同比下降20%</w:t>
      </w:r>
    </w:p>
    <w:p w14:paraId="17CA0E04">
      <w:pPr>
        <w:spacing w:line="360" w:lineRule="auto"/>
        <w:ind w:firstLine="576"/>
        <w:jc w:val="left"/>
        <w:rPr>
          <w:rFonts w:ascii="Times New Roman" w:hAnsi="Times New Roman" w:eastAsia="仿宋"/>
          <w:sz w:val="32"/>
        </w:rPr>
      </w:pPr>
      <w:r>
        <w:rPr>
          <w:rFonts w:ascii="Times New Roman" w:hAnsi="Times New Roman" w:eastAsia="仿宋"/>
          <w:sz w:val="32"/>
        </w:rPr>
        <w:t>10月15日，Omdia发布初步统计，2026年第三季度全球智能手机出货量同比下降20%，降幅大于第二季度的6%。存储器成本持续上升，挤压中低端手机利润并影响品牌备货；三星和苹果合计占全球出货量约45%。</w:t>
      </w:r>
      <w:r>
        <w:fldChar w:fldCharType="begin"/>
      </w:r>
      <w:r>
        <w:instrText xml:space="preserve"> HYPERLINK "https://www.xcc.com/news/detail/5576633" \h </w:instrText>
      </w:r>
      <w:r>
        <w:fldChar w:fldCharType="separate"/>
      </w:r>
      <w:r>
        <w:rPr>
          <w:rFonts w:ascii="Times New Roman" w:hAnsi="Times New Roman" w:eastAsia="仿宋"/>
          <w:sz w:val="32"/>
        </w:rPr>
        <w:t>（Omdia）</w:t>
      </w:r>
      <w:r>
        <w:rPr>
          <w:rFonts w:ascii="Times New Roman" w:hAnsi="Times New Roman" w:eastAsia="仿宋"/>
          <w:sz w:val="32"/>
        </w:rPr>
        <w:fldChar w:fldCharType="end"/>
      </w:r>
    </w:p>
    <w:p w14:paraId="018FC259">
      <w:pPr>
        <w:spacing w:line="360" w:lineRule="auto"/>
        <w:jc w:val="left"/>
      </w:pPr>
    </w:p>
    <w:p w14:paraId="4D216CF8">
      <w:pPr>
        <w:spacing w:line="360" w:lineRule="auto"/>
        <w:jc w:val="center"/>
      </w:pPr>
      <w:r>
        <w:rPr>
          <w:rFonts w:ascii="Arial" w:hAnsi="Arial" w:eastAsia="黑体"/>
          <w:b/>
          <w:sz w:val="32"/>
        </w:rPr>
        <w:t>9月计算机、通信和其他电子设备制造业增加值增长16.4%</w:t>
      </w:r>
    </w:p>
    <w:p w14:paraId="4A32B807">
      <w:pPr>
        <w:spacing w:line="360" w:lineRule="auto"/>
        <w:ind w:firstLine="576"/>
        <w:jc w:val="left"/>
        <w:rPr>
          <w:rFonts w:ascii="Times New Roman" w:hAnsi="Times New Roman" w:eastAsia="仿宋"/>
          <w:sz w:val="32"/>
        </w:rPr>
      </w:pPr>
      <w:r>
        <w:rPr>
          <w:rFonts w:ascii="Times New Roman" w:hAnsi="Times New Roman" w:eastAsia="仿宋"/>
          <w:sz w:val="32"/>
        </w:rPr>
        <w:t>10月19日，国家统计局发布9月工业生产数据。规模以上工业增加值同比增长5.5%，其中计算机、通信和其他电子设备制造业增长16.4%，高于工业总体增速；专用设备制造业增长12.1%。电子制造保持较快增长。</w:t>
      </w:r>
      <w:r>
        <w:fldChar w:fldCharType="begin"/>
      </w:r>
      <w:r>
        <w:instrText xml:space="preserve"> HYPERLINK "https://www.stats.gov.cn/sj/zxfb/202610/t20261019_1965617.html" \h </w:instrText>
      </w:r>
      <w:r>
        <w:fldChar w:fldCharType="separate"/>
      </w:r>
      <w:r>
        <w:rPr>
          <w:rFonts w:ascii="Times New Roman" w:hAnsi="Times New Roman" w:eastAsia="仿宋"/>
          <w:sz w:val="32"/>
        </w:rPr>
        <w:t>（国家统计局）</w:t>
      </w:r>
      <w:r>
        <w:rPr>
          <w:rFonts w:ascii="Times New Roman" w:hAnsi="Times New Roman" w:eastAsia="仿宋"/>
          <w:sz w:val="32"/>
        </w:rPr>
        <w:fldChar w:fldCharType="end"/>
      </w:r>
    </w:p>
    <w:p w14:paraId="45DCB09E">
      <w:pPr>
        <w:spacing w:line="360" w:lineRule="auto"/>
        <w:jc w:val="left"/>
        <w:rPr>
          <w:rFonts w:ascii="Times New Roman" w:hAnsi="Times New Roman" w:eastAsia="仿宋"/>
          <w:sz w:val="32"/>
        </w:rPr>
      </w:pPr>
    </w:p>
    <w:p w14:paraId="403B398F">
      <w:pPr>
        <w:spacing w:line="360" w:lineRule="auto"/>
        <w:jc w:val="center"/>
      </w:pPr>
      <w:r>
        <w:rPr>
          <w:rFonts w:ascii="Arial" w:hAnsi="Arial" w:eastAsia="黑体"/>
          <w:b/>
          <w:sz w:val="32"/>
        </w:rPr>
        <w:t>前三季度工业机器人产量同比增长29.1%</w:t>
      </w:r>
    </w:p>
    <w:p w14:paraId="3A36280B">
      <w:pPr>
        <w:spacing w:line="360" w:lineRule="auto"/>
        <w:ind w:firstLine="576"/>
        <w:jc w:val="left"/>
      </w:pPr>
      <w:r>
        <w:rPr>
          <w:rFonts w:ascii="Times New Roman" w:hAnsi="Times New Roman" w:eastAsia="仿宋"/>
          <w:sz w:val="32"/>
        </w:rPr>
        <w:t>10月19日，国家统计局公布，2026年1至9月我国工业机器人产量为79.48万套，按可比口径同比增长29.1%；其中9月产量9.68万套，同比增长18.9%。机器人制造维持较快增长，相关控制与驱动电子需求值得关注。</w:t>
      </w:r>
      <w:r>
        <w:fldChar w:fldCharType="begin"/>
      </w:r>
      <w:r>
        <w:instrText xml:space="preserve"> HYPERLINK "https://www.stats.gov.cn/sj/zxfb/202610/t20261019_1965617.html" \h </w:instrText>
      </w:r>
      <w:r>
        <w:fldChar w:fldCharType="separate"/>
      </w:r>
      <w:r>
        <w:rPr>
          <w:rFonts w:ascii="Times New Roman" w:hAnsi="Times New Roman" w:eastAsia="仿宋"/>
          <w:sz w:val="32"/>
        </w:rPr>
        <w:t>（国家统计局）</w:t>
      </w:r>
      <w:r>
        <w:rPr>
          <w:rFonts w:ascii="Times New Roman" w:hAnsi="Times New Roman" w:eastAsia="仿宋"/>
          <w:sz w:val="32"/>
        </w:rPr>
        <w:fldChar w:fldCharType="end"/>
      </w:r>
    </w:p>
    <w:p w14:paraId="5B1001FF">
      <w:pPr>
        <w:spacing w:line="360" w:lineRule="auto"/>
        <w:jc w:val="left"/>
      </w:pPr>
    </w:p>
    <w:p w14:paraId="2744EFD1">
      <w:pPr>
        <w:spacing w:line="360" w:lineRule="auto"/>
        <w:jc w:val="center"/>
      </w:pPr>
      <w:r>
        <w:rPr>
          <w:rFonts w:ascii="Arial" w:hAnsi="Arial" w:eastAsia="黑体"/>
          <w:b/>
          <w:sz w:val="32"/>
        </w:rPr>
        <w:t>10月前18天新能源乘用车零售52万辆</w:t>
      </w:r>
    </w:p>
    <w:p w14:paraId="73172E64">
      <w:pPr>
        <w:spacing w:line="360" w:lineRule="auto"/>
        <w:ind w:firstLine="576"/>
        <w:jc w:val="left"/>
        <w:rPr>
          <w:rFonts w:hint="default" w:eastAsiaTheme="minorEastAsia"/>
          <w:lang w:val="en-US" w:eastAsia="zh-CN"/>
        </w:rPr>
      </w:pPr>
      <w:r>
        <w:rPr>
          <w:rFonts w:ascii="Times New Roman" w:hAnsi="Times New Roman" w:eastAsia="仿宋"/>
          <w:sz w:val="32"/>
        </w:rPr>
        <w:t>10月21日，乘联分会发布车市扫描：10月1日至18日，全国新能源乘用车零售52万辆，同比下降13%；厂商批发65.5万辆，同比增长5%。同期新能源零售渗透率为65.9%，终端需求与批发走势出现分化。</w:t>
      </w:r>
      <w:r>
        <w:fldChar w:fldCharType="begin"/>
      </w:r>
      <w:r>
        <w:instrText xml:space="preserve"> HYPERLINK "https://cada.cn/Trends/info_91_10586.html" \h </w:instrText>
      </w:r>
      <w:r>
        <w:fldChar w:fldCharType="separate"/>
      </w:r>
      <w:r>
        <w:rPr>
          <w:rFonts w:ascii="Times New Roman" w:hAnsi="Times New Roman" w:eastAsia="仿宋"/>
          <w:sz w:val="32"/>
        </w:rPr>
        <w:t>（中国汽车流通协会乘联分会）</w:t>
      </w:r>
      <w:r>
        <w:rPr>
          <w:rFonts w:ascii="Times New Roman" w:hAnsi="Times New Roman" w:eastAsia="仿宋"/>
          <w:sz w:val="32"/>
        </w:rPr>
        <w:fldChar w:fldCharType="end"/>
      </w:r>
    </w:p>
    <w:p w14:paraId="27CAA1D1">
      <w:pPr>
        <w:spacing w:line="360" w:lineRule="auto"/>
        <w:jc w:val="left"/>
      </w:pPr>
    </w:p>
    <w:p w14:paraId="2BD96FC9">
      <w:pPr>
        <w:spacing w:before="260" w:after="260" w:line="413" w:lineRule="auto"/>
        <w:ind w:firstLine="0"/>
        <w:jc w:val="left"/>
      </w:pPr>
      <w:r>
        <w:rPr>
          <w:rFonts w:hint="eastAsia" w:ascii="Arial" w:hAnsi="Arial" w:eastAsia="黑体"/>
          <w:b/>
          <w:sz w:val="32"/>
          <w:lang w:val="en-US" w:eastAsia="zh-CN"/>
        </w:rPr>
        <w:t>三、企业</w:t>
      </w:r>
    </w:p>
    <w:p w14:paraId="4848F763">
      <w:pPr>
        <w:spacing w:line="360" w:lineRule="auto"/>
        <w:jc w:val="center"/>
      </w:pPr>
      <w:r>
        <w:rPr>
          <w:rFonts w:ascii="Arial" w:hAnsi="Arial" w:eastAsia="黑体"/>
          <w:b/>
          <w:sz w:val="32"/>
        </w:rPr>
        <w:t>东山精密启动H股全球发售</w:t>
      </w:r>
    </w:p>
    <w:p w14:paraId="0A82C8E6">
      <w:pPr>
        <w:spacing w:line="360" w:lineRule="auto"/>
        <w:ind w:firstLine="576"/>
        <w:jc w:val="left"/>
      </w:pPr>
      <w:r>
        <w:rPr>
          <w:rFonts w:ascii="Times New Roman" w:hAnsi="Times New Roman" w:eastAsia="仿宋"/>
          <w:sz w:val="32"/>
        </w:rPr>
        <w:t>10月20日，东山精密刊发H股招股说明书并启动香港公开发售，基础全球发售规模约1.14亿股，最高发售价为每股93.8港元，预计10月28日在香港联交所挂牌。公司拟借助境外融资支持PCB及光模块等业务的产能建设和全球化布局；最终发行价格和上市仍以公告为准。</w:t>
      </w:r>
      <w:r>
        <w:fldChar w:fldCharType="begin"/>
      </w:r>
      <w:r>
        <w:instrText xml:space="preserve"> HYPERLINK "https://stock.stockstar.com/notice/SN2026102000006158.shtml" \h </w:instrText>
      </w:r>
      <w:r>
        <w:fldChar w:fldCharType="separate"/>
      </w:r>
      <w:r>
        <w:rPr>
          <w:rFonts w:ascii="Times New Roman" w:hAnsi="Times New Roman" w:eastAsia="仿宋"/>
          <w:sz w:val="32"/>
        </w:rPr>
        <w:t>（东山精密公告）</w:t>
      </w:r>
      <w:r>
        <w:rPr>
          <w:rFonts w:ascii="Times New Roman" w:hAnsi="Times New Roman" w:eastAsia="仿宋"/>
          <w:sz w:val="32"/>
        </w:rPr>
        <w:fldChar w:fldCharType="end"/>
      </w:r>
    </w:p>
    <w:p w14:paraId="6B10A8FA">
      <w:pPr>
        <w:spacing w:line="360" w:lineRule="auto"/>
        <w:jc w:val="left"/>
      </w:pPr>
    </w:p>
    <w:p w14:paraId="0FB30727">
      <w:pPr>
        <w:spacing w:line="360" w:lineRule="auto"/>
        <w:jc w:val="center"/>
      </w:pPr>
      <w:r>
        <w:rPr>
          <w:rFonts w:ascii="Arial" w:hAnsi="Arial" w:eastAsia="黑体"/>
          <w:b/>
          <w:sz w:val="32"/>
        </w:rPr>
        <w:t>奥士康拟发行H股并赴港上市</w:t>
      </w:r>
    </w:p>
    <w:p w14:paraId="208D3E2B">
      <w:pPr>
        <w:spacing w:line="360" w:lineRule="auto"/>
        <w:ind w:firstLine="576"/>
        <w:jc w:val="left"/>
      </w:pPr>
      <w:r>
        <w:rPr>
          <w:rFonts w:ascii="Times New Roman" w:hAnsi="Times New Roman" w:eastAsia="仿宋"/>
          <w:sz w:val="32"/>
        </w:rPr>
        <w:t>10月21日，奥士康公告，董事会审议通过发行H股并在香港联交所主板上市的相关议案，后续尚需履行股东会及监管程序。公司此前发行的10亿元可转债于10月20日上市，募集资金拟投向高端印制电路板项目。</w:t>
      </w:r>
      <w:r>
        <w:fldChar w:fldCharType="begin"/>
      </w:r>
      <w:r>
        <w:instrText xml:space="preserve"> HYPERLINK "https://finance.sina.com.cn/roll/2026-10-21/doc-inivyaau8046348.shtml" \h </w:instrText>
      </w:r>
      <w:r>
        <w:fldChar w:fldCharType="separate"/>
      </w:r>
      <w:r>
        <w:rPr>
          <w:rFonts w:ascii="Times New Roman" w:hAnsi="Times New Roman" w:eastAsia="仿宋"/>
          <w:sz w:val="32"/>
        </w:rPr>
        <w:t>（奥士康公告）</w:t>
      </w:r>
      <w:r>
        <w:rPr>
          <w:rFonts w:ascii="Times New Roman" w:hAnsi="Times New Roman" w:eastAsia="仿宋"/>
          <w:sz w:val="32"/>
        </w:rPr>
        <w:fldChar w:fldCharType="end"/>
      </w:r>
    </w:p>
    <w:p w14:paraId="41E0AFF2">
      <w:pPr>
        <w:spacing w:line="360" w:lineRule="auto"/>
        <w:jc w:val="left"/>
      </w:pPr>
    </w:p>
    <w:p w14:paraId="00AF6C16">
      <w:pPr>
        <w:spacing w:line="360" w:lineRule="auto"/>
        <w:jc w:val="center"/>
      </w:pPr>
      <w:r>
        <w:rPr>
          <w:rFonts w:ascii="Arial" w:hAnsi="Arial" w:eastAsia="黑体"/>
          <w:b/>
          <w:sz w:val="32"/>
        </w:rPr>
        <w:t>世运电路推进泰国高端PCB募投项目</w:t>
      </w:r>
    </w:p>
    <w:p w14:paraId="543BCD4B">
      <w:pPr>
        <w:spacing w:line="360" w:lineRule="auto"/>
        <w:ind w:firstLine="576"/>
        <w:jc w:val="left"/>
      </w:pPr>
      <w:r>
        <w:rPr>
          <w:rFonts w:ascii="Times New Roman" w:hAnsi="Times New Roman" w:eastAsia="仿宋"/>
          <w:sz w:val="32"/>
        </w:rPr>
        <w:t>10月21日，世运电路披露泰国项目资金使用安排。泰国世运拟在募投项目实施期间，以自有资金支付部分项目款项，再以募集资金等额置换，本次金额约1165.71万美元。相关项目规划建设年产120万平方米高端、高精密度印制电路板产能。</w:t>
      </w:r>
      <w:r>
        <w:fldChar w:fldCharType="begin"/>
      </w:r>
      <w:r>
        <w:instrText xml:space="preserve"> HYPERLINK "https://www.cfi.net.cn/p20261020001626.html" \h </w:instrText>
      </w:r>
      <w:r>
        <w:fldChar w:fldCharType="separate"/>
      </w:r>
      <w:r>
        <w:rPr>
          <w:rFonts w:ascii="Times New Roman" w:hAnsi="Times New Roman" w:eastAsia="仿宋"/>
          <w:sz w:val="32"/>
        </w:rPr>
        <w:t>（世运电路公告）</w:t>
      </w:r>
      <w:r>
        <w:rPr>
          <w:rFonts w:ascii="Times New Roman" w:hAnsi="Times New Roman" w:eastAsia="仿宋"/>
          <w:sz w:val="32"/>
        </w:rPr>
        <w:fldChar w:fldCharType="end"/>
      </w:r>
    </w:p>
    <w:p w14:paraId="10D82A16">
      <w:pPr>
        <w:spacing w:line="360" w:lineRule="auto"/>
        <w:jc w:val="left"/>
      </w:pPr>
    </w:p>
    <w:p w14:paraId="2394813F">
      <w:pPr>
        <w:spacing w:line="360" w:lineRule="auto"/>
        <w:jc w:val="center"/>
      </w:pPr>
      <w:r>
        <w:rPr>
          <w:rFonts w:ascii="Arial" w:hAnsi="Arial" w:eastAsia="黑体"/>
          <w:b/>
          <w:sz w:val="32"/>
        </w:rPr>
        <w:t>宏昌电子拟投不低于8亿元建设高端覆铜板项目</w:t>
      </w:r>
    </w:p>
    <w:p w14:paraId="604441CF">
      <w:pPr>
        <w:spacing w:line="360" w:lineRule="auto"/>
        <w:ind w:firstLine="576"/>
        <w:jc w:val="left"/>
      </w:pPr>
      <w:r>
        <w:rPr>
          <w:rFonts w:ascii="Times New Roman" w:hAnsi="Times New Roman" w:eastAsia="仿宋"/>
          <w:sz w:val="32"/>
        </w:rPr>
        <w:t>10月21日，宏昌电子公告，董事会同意全资孙公司珠海宏仁与珠海经济技术开发区管理委员会签订项目投资协议，建设高端覆铜板及半固化片项目，投资额不低于约8亿元，其中固定资产投资不低于约7亿元。项目仍需环评、用地等手续。</w:t>
      </w:r>
      <w:r>
        <w:fldChar w:fldCharType="begin"/>
      </w:r>
      <w:r>
        <w:instrText xml:space="preserve"> HYPERLINK "https://money.finance.sina.com.cn/corp/view/vCB_AllBulletinDetail.php?id=12650290&amp;stockid=603002" \h </w:instrText>
      </w:r>
      <w:r>
        <w:fldChar w:fldCharType="separate"/>
      </w:r>
      <w:r>
        <w:rPr>
          <w:rFonts w:ascii="Times New Roman" w:hAnsi="Times New Roman" w:eastAsia="仿宋"/>
          <w:sz w:val="32"/>
        </w:rPr>
        <w:t>（宏昌电子公告）</w:t>
      </w:r>
      <w:r>
        <w:rPr>
          <w:rFonts w:ascii="Times New Roman" w:hAnsi="Times New Roman" w:eastAsia="仿宋"/>
          <w:sz w:val="32"/>
        </w:rPr>
        <w:fldChar w:fldCharType="end"/>
      </w:r>
    </w:p>
    <w:p w14:paraId="7F1C528A">
      <w:pPr>
        <w:spacing w:line="360" w:lineRule="auto"/>
        <w:jc w:val="left"/>
      </w:pPr>
    </w:p>
    <w:p w14:paraId="6D8046C2">
      <w:pPr>
        <w:spacing w:line="360" w:lineRule="auto"/>
        <w:jc w:val="left"/>
      </w:pPr>
      <w:bookmarkStart w:id="0" w:name="_GoBack"/>
      <w:bookmarkEnd w:id="0"/>
    </w:p>
    <w:p w14:paraId="26AC960B">
      <w:pPr>
        <w:spacing w:line="360" w:lineRule="auto"/>
        <w:jc w:val="center"/>
      </w:pPr>
      <w:r>
        <w:rPr>
          <w:rFonts w:ascii="Arial" w:hAnsi="Arial" w:eastAsia="黑体"/>
          <w:b/>
          <w:sz w:val="32"/>
        </w:rPr>
        <w:t>沪电股份1.6T交换机PCB实现批量出货</w:t>
      </w:r>
    </w:p>
    <w:p w14:paraId="7469FE00">
      <w:pPr>
        <w:spacing w:line="360" w:lineRule="auto"/>
        <w:ind w:firstLine="576"/>
        <w:jc w:val="left"/>
      </w:pPr>
      <w:r>
        <w:rPr>
          <w:rFonts w:ascii="Times New Roman" w:hAnsi="Times New Roman" w:eastAsia="仿宋"/>
          <w:sz w:val="32"/>
        </w:rPr>
        <w:t>10月20日，沪电股份披露投资者关系记录：应用于1.6T交换机的PCB产品已实现批量出货，适配224Gbps传输速率的核心产品已小批量供货；公司同时推进3.2T交换机配套产品及448Gbps传输速率产品预研。</w:t>
      </w:r>
      <w:r>
        <w:fldChar w:fldCharType="begin"/>
      </w:r>
      <w:r>
        <w:instrText xml:space="preserve"> HYPERLINK "https://static.cninfo.com.cn/finalpage/2026-10-20/1225612453.PDF" \h </w:instrText>
      </w:r>
      <w:r>
        <w:fldChar w:fldCharType="separate"/>
      </w:r>
      <w:r>
        <w:rPr>
          <w:rFonts w:ascii="Times New Roman" w:hAnsi="Times New Roman" w:eastAsia="仿宋"/>
          <w:sz w:val="32"/>
        </w:rPr>
        <w:t>（沪电股份投资者关系记录）</w:t>
      </w:r>
      <w:r>
        <w:rPr>
          <w:rFonts w:ascii="Times New Roman" w:hAnsi="Times New Roman" w:eastAsia="仿宋"/>
          <w:sz w:val="32"/>
        </w:rPr>
        <w:fldChar w:fldCharType="end"/>
      </w:r>
    </w:p>
    <w:p w14:paraId="4EECFB81">
      <w:pPr>
        <w:spacing w:line="360" w:lineRule="auto"/>
        <w:jc w:val="left"/>
      </w:pPr>
    </w:p>
    <w:p w14:paraId="4F9E70C5">
      <w:pPr>
        <w:spacing w:line="360" w:lineRule="auto"/>
        <w:jc w:val="center"/>
      </w:pPr>
      <w:r>
        <w:rPr>
          <w:rFonts w:ascii="Arial" w:hAnsi="Arial" w:eastAsia="黑体"/>
          <w:b/>
          <w:sz w:val="32"/>
        </w:rPr>
        <w:t>四会富仕披露六期工厂投产计划</w:t>
      </w:r>
    </w:p>
    <w:p w14:paraId="52D3FD27">
      <w:pPr>
        <w:spacing w:line="360" w:lineRule="auto"/>
        <w:ind w:firstLine="576"/>
        <w:jc w:val="left"/>
      </w:pPr>
      <w:r>
        <w:rPr>
          <w:rFonts w:ascii="Times New Roman" w:hAnsi="Times New Roman" w:eastAsia="仿宋"/>
          <w:sz w:val="32"/>
        </w:rPr>
        <w:t>10月19日，四会富仕在机构调研中表示，六期工厂计划于11月初投产，预计2027年初开始产出并逐步爬坡。公司称目前订单充裕，交期已排至年底及明年初；新产能释放仍需关注客户导入与爬坡进度。</w:t>
      </w:r>
      <w:r>
        <w:fldChar w:fldCharType="begin"/>
      </w:r>
      <w:r>
        <w:instrText xml:space="preserve"> HYPERLINK "https://stock.10jqka.com.cn/20261019/c680849434.shtml" \h </w:instrText>
      </w:r>
      <w:r>
        <w:fldChar w:fldCharType="separate"/>
      </w:r>
      <w:r>
        <w:rPr>
          <w:rFonts w:ascii="Times New Roman" w:hAnsi="Times New Roman" w:eastAsia="仿宋"/>
          <w:sz w:val="32"/>
        </w:rPr>
        <w:t>（四会富仕投资者关系记录）</w:t>
      </w:r>
      <w:r>
        <w:rPr>
          <w:rFonts w:ascii="Times New Roman" w:hAnsi="Times New Roman" w:eastAsia="仿宋"/>
          <w:sz w:val="32"/>
        </w:rPr>
        <w:fldChar w:fldCharType="end"/>
      </w:r>
    </w:p>
    <w:p w14:paraId="7D4099E1">
      <w:pPr>
        <w:spacing w:line="360" w:lineRule="auto"/>
        <w:jc w:val="left"/>
      </w:pPr>
    </w:p>
    <w:p w14:paraId="7B71F563">
      <w:pPr>
        <w:spacing w:line="360" w:lineRule="auto"/>
        <w:jc w:val="center"/>
      </w:pPr>
      <w:r>
        <w:rPr>
          <w:rFonts w:ascii="Arial" w:hAnsi="Arial" w:eastAsia="黑体"/>
          <w:b/>
          <w:sz w:val="32"/>
        </w:rPr>
        <w:t>建滔积层板上调部分薄布板料和半固化片售价</w:t>
      </w:r>
    </w:p>
    <w:p w14:paraId="489B80F1">
      <w:pPr>
        <w:spacing w:line="360" w:lineRule="auto"/>
        <w:ind w:firstLine="576"/>
        <w:jc w:val="left"/>
      </w:pPr>
      <w:r>
        <w:rPr>
          <w:rFonts w:ascii="Times New Roman" w:hAnsi="Times New Roman" w:eastAsia="仿宋"/>
          <w:sz w:val="32"/>
        </w:rPr>
        <w:t>10月19日，据中国证券报报道，建滔积层板近期发布调价函，因上游玻璃布、玻璃纱供应紧张，对使用2116及以下薄布为原材料的板料和半固化片售价上调15%。报道指出，其他覆铜板厂商10月也对部分产品作出价格调整。</w:t>
      </w:r>
      <w:r>
        <w:fldChar w:fldCharType="begin"/>
      </w:r>
      <w:r>
        <w:instrText xml:space="preserve"> HYPERLINK "https://www.stcn.com/article/detail/4224428.html" \h </w:instrText>
      </w:r>
      <w:r>
        <w:fldChar w:fldCharType="separate"/>
      </w:r>
      <w:r>
        <w:rPr>
          <w:rFonts w:ascii="Times New Roman" w:hAnsi="Times New Roman" w:eastAsia="仿宋"/>
          <w:sz w:val="32"/>
        </w:rPr>
        <w:t>（中国证券报）</w:t>
      </w:r>
      <w:r>
        <w:rPr>
          <w:rFonts w:ascii="Times New Roman" w:hAnsi="Times New Roman" w:eastAsia="仿宋"/>
          <w:sz w:val="32"/>
        </w:rPr>
        <w:fldChar w:fldCharType="end"/>
      </w:r>
    </w:p>
    <w:p w14:paraId="03E9E288">
      <w:pPr>
        <w:spacing w:line="360" w:lineRule="auto"/>
        <w:jc w:val="left"/>
      </w:pPr>
    </w:p>
    <w:p w14:paraId="00D9BB1B">
      <w:pPr>
        <w:spacing w:line="360" w:lineRule="auto"/>
        <w:jc w:val="left"/>
      </w:pPr>
    </w:p>
    <w:p w14:paraId="06CDCA80">
      <w:pPr>
        <w:spacing w:line="360" w:lineRule="auto"/>
        <w:jc w:val="left"/>
      </w:pPr>
    </w:p>
    <w:p w14:paraId="1A101F4A">
      <w:pPr>
        <w:spacing w:line="360" w:lineRule="auto"/>
        <w:jc w:val="left"/>
      </w:pPr>
    </w:p>
    <w:p w14:paraId="5D07AC95">
      <w:pPr>
        <w:spacing w:line="360" w:lineRule="auto"/>
        <w:ind w:firstLine="576"/>
        <w:jc w:val="left"/>
      </w:pPr>
    </w:p>
    <w:p w14:paraId="2BC04F2C">
      <w:pPr>
        <w:spacing w:line="360" w:lineRule="auto"/>
        <w:jc w:val="left"/>
      </w:pPr>
    </w:p>
    <w:p w14:paraId="5BFEFDA5">
      <w:pPr>
        <w:spacing w:line="360" w:lineRule="auto"/>
        <w:jc w:val="right"/>
      </w:pPr>
      <w:r>
        <w:rPr>
          <w:rFonts w:ascii="Arial" w:hAnsi="Arial" w:eastAsia="黑体"/>
          <w:b/>
          <w:sz w:val="32"/>
        </w:rPr>
        <w:t>更多精彩内容请扫描下方二维码，关注CPCA服务号</w:t>
      </w:r>
    </w:p>
    <w:p w14:paraId="6A4A3C9A">
      <w:pPr>
        <w:spacing w:line="360" w:lineRule="auto"/>
        <w:jc w:val="right"/>
      </w:pPr>
      <w:r>
        <w:rPr>
          <w:rFonts w:ascii="Times New Roman" w:hAnsi="Times New Roman" w:eastAsia="仿宋"/>
          <w:sz w:val="32"/>
        </w:rPr>
        <w:t>撰稿人：张国旗</w:t>
      </w:r>
    </w:p>
    <w:p w14:paraId="5B639555">
      <w:pPr>
        <w:spacing w:line="360" w:lineRule="auto"/>
        <w:jc w:val="right"/>
      </w:pPr>
      <w:r>
        <w:rPr>
          <w:rFonts w:ascii="华文仿宋" w:hAnsi="华文仿宋" w:eastAsia="华文仿宋"/>
          <w:sz w:val="28"/>
        </w:rPr>
        <w:t>审核：张运</w:t>
      </w:r>
    </w:p>
    <w:p w14:paraId="044B3D61">
      <w:pPr>
        <w:widowControl w:val="0"/>
        <w:bidi w:val="0"/>
        <w:spacing w:line="240" w:lineRule="auto"/>
        <w:ind w:left="0" w:leftChars="0" w:firstLine="0" w:firstLineChars="0"/>
        <w:jc w:val="right"/>
        <w:rPr>
          <w:rFonts w:hint="default" w:ascii="Times New Roman" w:hAnsi="Times New Roman" w:eastAsia="仿宋" w:cs="Times New Roman"/>
          <w:sz w:val="32"/>
          <w:szCs w:val="24"/>
          <w:lang w:val="en-US" w:eastAsia="zh-CN"/>
        </w:rPr>
      </w:pPr>
      <w:r>
        <w:rPr>
          <w:rFonts w:ascii="Times New Roman" w:hAnsi="Times New Roman" w:eastAsia="仿宋" w:cs="Times New Roman"/>
          <w:sz w:val="32"/>
          <w:szCs w:val="24"/>
        </w:rPr>
        <w:drawing>
          <wp:inline distT="0" distB="0" distL="114300" distR="114300">
            <wp:extent cx="1187450" cy="1168400"/>
            <wp:effectExtent l="0" t="0" r="6350" b="0"/>
            <wp:docPr id="3" name="图片 10" descr="Image: 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descr="Image: image2.png"/>
                    <pic:cNvPicPr>
                      <a:picLocks noChangeAspect="1"/>
                    </pic:cNvPicPr>
                  </pic:nvPicPr>
                  <pic:blipFill>
                    <a:blip r:embed="rId5"/>
                    <a:stretch>
                      <a:fillRect/>
                    </a:stretch>
                  </pic:blipFill>
                  <pic:spPr>
                    <a:xfrm>
                      <a:off x="0" y="0"/>
                      <a:ext cx="1187450" cy="1168400"/>
                    </a:xfrm>
                    <a:prstGeom prst="rect">
                      <a:avLst/>
                    </a:prstGeom>
                    <a:noFill/>
                    <a:ln>
                      <a:noFill/>
                    </a:ln>
                  </pic:spPr>
                </pic:pic>
              </a:graphicData>
            </a:graphic>
          </wp:inline>
        </w:drawing>
      </w:r>
    </w:p>
    <w:p w14:paraId="077ACD8E">
      <w:r>
        <w:rPr>
          <w:rFonts w:hint="default" w:ascii="Times New Roman" w:hAnsi="Times New Roman" w:eastAsia="仿宋" w:cs="Times New Roman"/>
          <w:kern w:val="0"/>
          <w:sz w:val="24"/>
          <w:szCs w:val="24"/>
          <w:lang w:val="en-US" w:eastAsia="zh-CN" w:bidi="ar"/>
        </w:rPr>
        <w:drawing>
          <wp:inline distT="0" distB="0" distL="114300" distR="114300">
            <wp:extent cx="5273675" cy="3503295"/>
            <wp:effectExtent l="0" t="0" r="9525" b="1905"/>
            <wp:docPr id="2" name="图片 2" descr="467b3544aa10c7b69a0d3f65ce8dd4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67b3544aa10c7b69a0d3f65ce8dd4d2"/>
                    <pic:cNvPicPr>
                      <a:picLocks noChangeAspect="1"/>
                    </pic:cNvPicPr>
                  </pic:nvPicPr>
                  <pic:blipFill>
                    <a:blip r:embed="rId6"/>
                    <a:stretch>
                      <a:fillRect/>
                    </a:stretch>
                  </pic:blipFill>
                  <pic:spPr>
                    <a:xfrm>
                      <a:off x="0" y="0"/>
                      <a:ext cx="5273675" cy="3503295"/>
                    </a:xfrm>
                    <a:prstGeom prst="rect">
                      <a:avLst/>
                    </a:prstGeom>
                  </pic:spPr>
                </pic:pic>
              </a:graphicData>
            </a:graphic>
          </wp:inline>
        </w:drawing>
      </w:r>
    </w:p>
    <w:sectPr>
      <w:headerReference r:id="rId3" w:type="default"/>
      <w:pgSz w:w="11906" w:h="16838"/>
      <w:pgMar w:top="156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F4FE4">
    <w:pPr>
      <w:pStyle w:val="4"/>
      <w:pBdr>
        <w:bottom w:val="none" w:color="auto" w:sz="0" w:space="0"/>
      </w:pBdr>
      <w:jc w:val="both"/>
    </w:pPr>
    <w:r>
      <w:drawing>
        <wp:anchor distT="0" distB="0" distL="114300" distR="114300" simplePos="0" relativeHeight="251659264" behindDoc="1" locked="0" layoutInCell="1" allowOverlap="1">
          <wp:simplePos x="0" y="0"/>
          <wp:positionH relativeFrom="margin">
            <wp:align>center</wp:align>
          </wp:positionH>
          <wp:positionV relativeFrom="paragraph">
            <wp:posOffset>69215</wp:posOffset>
          </wp:positionV>
          <wp:extent cx="6782435" cy="513080"/>
          <wp:effectExtent l="0" t="0" r="0" b="1270"/>
          <wp:wrapTight wrapText="bothSides">
            <wp:wrapPolygon>
              <wp:start x="15713" y="0"/>
              <wp:lineTo x="0" y="0"/>
              <wp:lineTo x="0" y="18446"/>
              <wp:lineTo x="5703" y="20851"/>
              <wp:lineTo x="21477" y="20851"/>
              <wp:lineTo x="21477" y="17644"/>
              <wp:lineTo x="20203" y="13634"/>
              <wp:lineTo x="19232" y="12832"/>
              <wp:lineTo x="21355" y="8822"/>
              <wp:lineTo x="21477" y="4812"/>
              <wp:lineTo x="20809" y="0"/>
              <wp:lineTo x="15713" y="0"/>
            </wp:wrapPolygon>
          </wp:wrapTight>
          <wp:docPr id="1" name="图片 1" descr="C:\Users\Administrator\Desktop\未标题-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未标题-1.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782585" cy="51308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A87"/>
    <w:rsid w:val="00065C06"/>
    <w:rsid w:val="0035113B"/>
    <w:rsid w:val="003A66A4"/>
    <w:rsid w:val="004F2A87"/>
    <w:rsid w:val="006B3D1E"/>
    <w:rsid w:val="007065AE"/>
    <w:rsid w:val="0073199B"/>
    <w:rsid w:val="007456A0"/>
    <w:rsid w:val="008355BB"/>
    <w:rsid w:val="009014D3"/>
    <w:rsid w:val="00C372FC"/>
    <w:rsid w:val="00D65DCA"/>
    <w:rsid w:val="00E70812"/>
    <w:rsid w:val="00F70C01"/>
    <w:rsid w:val="00FF5190"/>
    <w:rsid w:val="045F663E"/>
    <w:rsid w:val="06B47FC9"/>
    <w:rsid w:val="071C1AB9"/>
    <w:rsid w:val="07221569"/>
    <w:rsid w:val="07DD40F6"/>
    <w:rsid w:val="083B7C49"/>
    <w:rsid w:val="0CB1267E"/>
    <w:rsid w:val="0E0A67C5"/>
    <w:rsid w:val="0E220FBD"/>
    <w:rsid w:val="0E73679E"/>
    <w:rsid w:val="0FA436B7"/>
    <w:rsid w:val="0FAD6545"/>
    <w:rsid w:val="0FC0235B"/>
    <w:rsid w:val="0FCC54B4"/>
    <w:rsid w:val="10CF4D8A"/>
    <w:rsid w:val="13A55F62"/>
    <w:rsid w:val="150F2940"/>
    <w:rsid w:val="164B0998"/>
    <w:rsid w:val="16E96798"/>
    <w:rsid w:val="18700773"/>
    <w:rsid w:val="1CDA2E0B"/>
    <w:rsid w:val="21A55BAC"/>
    <w:rsid w:val="21A60DC4"/>
    <w:rsid w:val="225C17EC"/>
    <w:rsid w:val="236405A0"/>
    <w:rsid w:val="25AF1BE4"/>
    <w:rsid w:val="25B55B0A"/>
    <w:rsid w:val="25EE16C9"/>
    <w:rsid w:val="264A2919"/>
    <w:rsid w:val="266175BF"/>
    <w:rsid w:val="27003495"/>
    <w:rsid w:val="274E3C38"/>
    <w:rsid w:val="28C049EA"/>
    <w:rsid w:val="28FD408E"/>
    <w:rsid w:val="29163431"/>
    <w:rsid w:val="29EF0897"/>
    <w:rsid w:val="2B767FBE"/>
    <w:rsid w:val="2BF15CE7"/>
    <w:rsid w:val="2D364384"/>
    <w:rsid w:val="2DC669A6"/>
    <w:rsid w:val="2E4775E3"/>
    <w:rsid w:val="2EDE3EE6"/>
    <w:rsid w:val="315179C6"/>
    <w:rsid w:val="33274995"/>
    <w:rsid w:val="33A475BE"/>
    <w:rsid w:val="33C137F8"/>
    <w:rsid w:val="369A381C"/>
    <w:rsid w:val="36ED7D2B"/>
    <w:rsid w:val="37CF5FD6"/>
    <w:rsid w:val="381216B5"/>
    <w:rsid w:val="38AD19AF"/>
    <w:rsid w:val="39431EEE"/>
    <w:rsid w:val="39F27144"/>
    <w:rsid w:val="3A522D3D"/>
    <w:rsid w:val="3A6D2312"/>
    <w:rsid w:val="3ACF3611"/>
    <w:rsid w:val="3B265F2E"/>
    <w:rsid w:val="3B766568"/>
    <w:rsid w:val="3ED15FEF"/>
    <w:rsid w:val="3EDF266A"/>
    <w:rsid w:val="3F233925"/>
    <w:rsid w:val="3FDD3C4F"/>
    <w:rsid w:val="40297E1C"/>
    <w:rsid w:val="44BD69EB"/>
    <w:rsid w:val="456055DE"/>
    <w:rsid w:val="45F31C63"/>
    <w:rsid w:val="45FD6761"/>
    <w:rsid w:val="461343DB"/>
    <w:rsid w:val="496A4B8E"/>
    <w:rsid w:val="4ABF4154"/>
    <w:rsid w:val="4B4134FD"/>
    <w:rsid w:val="4B543446"/>
    <w:rsid w:val="4E4364C2"/>
    <w:rsid w:val="50EA418D"/>
    <w:rsid w:val="510C0237"/>
    <w:rsid w:val="521E7BC5"/>
    <w:rsid w:val="52762767"/>
    <w:rsid w:val="52793D86"/>
    <w:rsid w:val="536C7C6B"/>
    <w:rsid w:val="53A662DF"/>
    <w:rsid w:val="53AD3873"/>
    <w:rsid w:val="53CF538E"/>
    <w:rsid w:val="557B2A48"/>
    <w:rsid w:val="55DB0099"/>
    <w:rsid w:val="57F01B04"/>
    <w:rsid w:val="596C1A28"/>
    <w:rsid w:val="59E7637A"/>
    <w:rsid w:val="59EE1099"/>
    <w:rsid w:val="5CF95551"/>
    <w:rsid w:val="5D9615A2"/>
    <w:rsid w:val="61863437"/>
    <w:rsid w:val="61E21505"/>
    <w:rsid w:val="624D40D3"/>
    <w:rsid w:val="62E354DE"/>
    <w:rsid w:val="632528C9"/>
    <w:rsid w:val="642D34F2"/>
    <w:rsid w:val="64592EAE"/>
    <w:rsid w:val="65326415"/>
    <w:rsid w:val="65605C5F"/>
    <w:rsid w:val="65911740"/>
    <w:rsid w:val="65AE7F5D"/>
    <w:rsid w:val="65FB0E53"/>
    <w:rsid w:val="66452A5A"/>
    <w:rsid w:val="66C33328"/>
    <w:rsid w:val="678149E0"/>
    <w:rsid w:val="68BE0B64"/>
    <w:rsid w:val="68D47E6F"/>
    <w:rsid w:val="691A127E"/>
    <w:rsid w:val="692244D0"/>
    <w:rsid w:val="6968585F"/>
    <w:rsid w:val="6A19339F"/>
    <w:rsid w:val="6BCE176C"/>
    <w:rsid w:val="6D07449C"/>
    <w:rsid w:val="6D8365BD"/>
    <w:rsid w:val="6E2A4350"/>
    <w:rsid w:val="6E3E1339"/>
    <w:rsid w:val="6E6D657F"/>
    <w:rsid w:val="6EC32276"/>
    <w:rsid w:val="6F0F1346"/>
    <w:rsid w:val="6F57027E"/>
    <w:rsid w:val="6F7810F5"/>
    <w:rsid w:val="71313AC1"/>
    <w:rsid w:val="72DB7A02"/>
    <w:rsid w:val="72DE08AE"/>
    <w:rsid w:val="72EE6ECA"/>
    <w:rsid w:val="73A51C06"/>
    <w:rsid w:val="752B4467"/>
    <w:rsid w:val="772054B7"/>
    <w:rsid w:val="77B64349"/>
    <w:rsid w:val="78404F59"/>
    <w:rsid w:val="78D0113A"/>
    <w:rsid w:val="79120DC0"/>
    <w:rsid w:val="7B086666"/>
    <w:rsid w:val="7B870239"/>
    <w:rsid w:val="7C007CD6"/>
    <w:rsid w:val="7C6C3669"/>
    <w:rsid w:val="7CFB2380"/>
    <w:rsid w:val="7DC1685E"/>
    <w:rsid w:val="7E4839B7"/>
    <w:rsid w:val="7E9D64A0"/>
    <w:rsid w:val="7F726CC2"/>
    <w:rsid w:val="7FC73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406</Words>
  <Characters>455</Characters>
  <Lines>0</Lines>
  <Paragraphs>0</Paragraphs>
  <TotalTime>3</TotalTime>
  <ScaleCrop>false</ScaleCrop>
  <LinksUpToDate>false</LinksUpToDate>
  <CharactersWithSpaces>501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2021-09-23T01:41:00Z</dcterms:created>
  <dc:creator>A</dc:creator>
  <cp:keywords>CPCA, PCB, 每周资讯, 第149期, 宏观, 市场, 企业</cp:keywords>
  <cp:lastModifiedBy>朕已阅</cp:lastModifiedBy>
  <cp:lastPrinted>2021-09-23T03:57:00Z</cp:lastPrinted>
  <dcterms:modified xsi:type="dcterms:W3CDTF">2026-10-23T01:35:30Z</dcterms:modified>
  <dc:subject>2026年8月27日至9月2日PCB行业每周资讯</dc:subject>
  <dc:title>CPCA149期每周资讯热点报告</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eyJoZGlkIjoiZWFlNjQ3NDIwZDEwN2RkZjI5ZmVhOGI2NjVlYTBkMTciLCJ1c2VySWQiOiIxMzgyMTM1ODU2In0=</vt:lpwstr>
  </property>
  <property fmtid="{D5CDD505-2E9C-101B-9397-08002B2CF9AE}" pid="3" name="KSOProductBuildVer">
    <vt:lpwstr>2052-12.1.0.29161</vt:lpwstr>
  </property>
  <property fmtid="{D5CDD505-2E9C-101B-9397-08002B2CF9AE}" pid="4" name="ICV">
    <vt:lpwstr>BDAFFB0FC5F5402BA17F0857C865C6B2_13</vt:lpwstr>
  </property>
</Properties>
</file>